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5A" w:rsidRPr="00754C7F" w:rsidRDefault="0049055A" w:rsidP="00F37B1D">
      <w:pPr>
        <w:jc w:val="center"/>
        <w:rPr>
          <w:i/>
        </w:rPr>
      </w:pPr>
      <w:r w:rsidRPr="00601D07">
        <w:rPr>
          <w:b/>
          <w:bCs/>
          <w:sz w:val="32"/>
          <w:szCs w:val="32"/>
        </w:rPr>
        <w:t xml:space="preserve">Historical Association </w:t>
      </w:r>
      <w:r w:rsidRPr="00601D07">
        <w:rPr>
          <w:b/>
          <w:bCs/>
          <w:sz w:val="32"/>
          <w:szCs w:val="32"/>
        </w:rPr>
        <w:br/>
        <w:t>Survey of History in Schools in England 2013</w:t>
      </w:r>
      <w:r w:rsidR="00F37B1D">
        <w:rPr>
          <w:b/>
          <w:bCs/>
          <w:sz w:val="32"/>
          <w:szCs w:val="32"/>
        </w:rPr>
        <w:br/>
      </w:r>
      <w:r w:rsidRPr="00754C7F">
        <w:rPr>
          <w:i/>
        </w:rPr>
        <w:t xml:space="preserve">Authors: Dr </w:t>
      </w:r>
      <w:smartTag w:uri="urn:schemas-microsoft-com:office:smarttags" w:element="PersonName">
        <w:r w:rsidRPr="00754C7F">
          <w:rPr>
            <w:i/>
          </w:rPr>
          <w:t>Katharine Burn</w:t>
        </w:r>
      </w:smartTag>
      <w:r w:rsidRPr="00754C7F">
        <w:rPr>
          <w:i/>
        </w:rPr>
        <w:t xml:space="preserve">, University of Oxford and Dr </w:t>
      </w:r>
      <w:smartTag w:uri="urn:schemas-microsoft-com:office:smarttags" w:element="PersonName">
        <w:r w:rsidRPr="00754C7F">
          <w:rPr>
            <w:i/>
          </w:rPr>
          <w:t>Richard Harris</w:t>
        </w:r>
      </w:smartTag>
      <w:r w:rsidRPr="00754C7F">
        <w:rPr>
          <w:i/>
        </w:rPr>
        <w:t>, University of Reading</w:t>
      </w:r>
    </w:p>
    <w:p w:rsidR="006C0F21" w:rsidRDefault="000A2429" w:rsidP="0049055A">
      <w:pPr>
        <w:rPr>
          <w:b/>
          <w:sz w:val="32"/>
          <w:szCs w:val="32"/>
        </w:rPr>
      </w:pPr>
      <w:r>
        <w:rPr>
          <w:b/>
          <w:sz w:val="32"/>
          <w:szCs w:val="32"/>
        </w:rPr>
        <w:t>1.</w:t>
      </w:r>
      <w:r w:rsidR="00754C7F">
        <w:rPr>
          <w:b/>
          <w:sz w:val="32"/>
          <w:szCs w:val="32"/>
        </w:rPr>
        <w:t xml:space="preserve"> </w:t>
      </w:r>
      <w:r w:rsidR="006C0F21" w:rsidRPr="006C0F21">
        <w:rPr>
          <w:b/>
          <w:sz w:val="32"/>
          <w:szCs w:val="32"/>
        </w:rPr>
        <w:t>Summary</w:t>
      </w:r>
    </w:p>
    <w:p w:rsidR="000A2429" w:rsidRDefault="000A2429" w:rsidP="006C0F21">
      <w:pPr>
        <w:rPr>
          <w:b/>
          <w:sz w:val="28"/>
          <w:szCs w:val="28"/>
        </w:rPr>
      </w:pPr>
      <w:r>
        <w:rPr>
          <w:b/>
          <w:sz w:val="28"/>
          <w:szCs w:val="28"/>
        </w:rPr>
        <w:t>1.1</w:t>
      </w:r>
      <w:r w:rsidR="0095490A">
        <w:rPr>
          <w:b/>
          <w:sz w:val="28"/>
          <w:szCs w:val="28"/>
        </w:rPr>
        <w:t xml:space="preserve"> </w:t>
      </w:r>
      <w:r>
        <w:rPr>
          <w:b/>
          <w:sz w:val="28"/>
          <w:szCs w:val="28"/>
        </w:rPr>
        <w:t>Key Stage 3 History</w:t>
      </w:r>
    </w:p>
    <w:p w:rsidR="000A2429" w:rsidRPr="002B310D" w:rsidRDefault="000A2429" w:rsidP="000A2429">
      <w:pPr>
        <w:rPr>
          <w:b/>
        </w:rPr>
      </w:pPr>
      <w:r w:rsidRPr="002B310D">
        <w:rPr>
          <w:b/>
        </w:rPr>
        <w:t>1.1.1</w:t>
      </w:r>
      <w:r w:rsidR="0095490A" w:rsidRPr="002B310D">
        <w:rPr>
          <w:b/>
        </w:rPr>
        <w:t xml:space="preserve"> </w:t>
      </w:r>
      <w:r w:rsidRPr="002B310D">
        <w:rPr>
          <w:b/>
        </w:rPr>
        <w:t xml:space="preserve">The length of the Key Stage 3 curriculum </w:t>
      </w:r>
      <w:r w:rsidR="00754C7F" w:rsidRPr="002B310D">
        <w:rPr>
          <w:b/>
        </w:rPr>
        <w:t>and the impact of</w:t>
      </w:r>
      <w:r w:rsidRPr="002B310D">
        <w:rPr>
          <w:b/>
        </w:rPr>
        <w:t xml:space="preserve"> </w:t>
      </w:r>
      <w:r w:rsidR="00754C7F" w:rsidRPr="002B310D">
        <w:rPr>
          <w:b/>
        </w:rPr>
        <w:t>a reduced two-year programme</w:t>
      </w:r>
    </w:p>
    <w:p w:rsidR="000A2429" w:rsidRDefault="000A2429" w:rsidP="008C12B1">
      <w:pPr>
        <w:jc w:val="both"/>
      </w:pPr>
      <w:r w:rsidRPr="00601D07">
        <w:t xml:space="preserve">While most schools </w:t>
      </w:r>
      <w:r>
        <w:t xml:space="preserve">still </w:t>
      </w:r>
      <w:r w:rsidRPr="00601D07">
        <w:t xml:space="preserve">offer a three-year Key Stage 3 curriculum for students (which spans Years 7, 8 and 9), there is considerable variation between schools, and over 18% of respondents report that their school </w:t>
      </w:r>
      <w:r>
        <w:t xml:space="preserve">now </w:t>
      </w:r>
      <w:r w:rsidRPr="00601D07">
        <w:t xml:space="preserve">offers a two-year Key Stage 3 programme.  </w:t>
      </w:r>
      <w:r w:rsidR="0095490A">
        <w:t>This condensed Key Stage 3 is most likely to be found in older style academies and its impact is felt not only in a reduced time allocation for history (with students’ core entitl</w:t>
      </w:r>
      <w:r w:rsidR="00473CBA">
        <w:t>ement cu</w:t>
      </w:r>
      <w:r w:rsidR="0095490A">
        <w:t>t by a third</w:t>
      </w:r>
      <w:r w:rsidR="00473CBA">
        <w:t>, because of the loss of the additional year, and also frequently limited to an hour a week or less</w:t>
      </w:r>
      <w:r w:rsidR="0095490A">
        <w:t xml:space="preserve">), but also in a reduced uptake for the subject at GCSE.   Two-year Key Stage 3 curriculum programmes are also more likely to be associated with alternative forms of curriculum provision in which history loses its identity as a discrete subject. </w:t>
      </w:r>
    </w:p>
    <w:p w:rsidR="0095490A" w:rsidRPr="002B310D" w:rsidRDefault="0095490A" w:rsidP="0095490A">
      <w:pPr>
        <w:rPr>
          <w:b/>
        </w:rPr>
      </w:pPr>
      <w:r w:rsidRPr="002B310D">
        <w:rPr>
          <w:b/>
        </w:rPr>
        <w:t>1.1.2 The extent of non-specialist teaching at Key Stage 3</w:t>
      </w:r>
    </w:p>
    <w:p w:rsidR="0095490A" w:rsidRPr="00601D07" w:rsidRDefault="0095490A" w:rsidP="008C12B1">
      <w:pPr>
        <w:jc w:val="both"/>
      </w:pPr>
      <w:r w:rsidRPr="00601D07">
        <w:t xml:space="preserve">The extent of non-specialist teaching varies considerably by type of school.  </w:t>
      </w:r>
      <w:r w:rsidR="00473CBA">
        <w:t>O</w:t>
      </w:r>
      <w:r w:rsidRPr="00601D07">
        <w:t xml:space="preserve">nly 25% of older </w:t>
      </w:r>
      <w:r w:rsidR="00473CBA">
        <w:t xml:space="preserve">style </w:t>
      </w:r>
      <w:r w:rsidRPr="00601D07">
        <w:t xml:space="preserve">academies report that </w:t>
      </w:r>
      <w:r w:rsidRPr="00601D07">
        <w:rPr>
          <w:b/>
        </w:rPr>
        <w:t>all</w:t>
      </w:r>
      <w:r w:rsidRPr="00601D07">
        <w:t xml:space="preserve"> their history classes in Year 7 are taught by specialist teachers.   For comprehensives and newer academies the figure is around 45% of classes in which all teaching is provided by specialists, whereas in independent and grammar schools the proportions are much higher, 75% and 66% respectively. </w:t>
      </w:r>
    </w:p>
    <w:p w:rsidR="00473CBA" w:rsidRPr="002B310D" w:rsidRDefault="00473CBA" w:rsidP="00473CBA">
      <w:pPr>
        <w:rPr>
          <w:b/>
        </w:rPr>
      </w:pPr>
      <w:r w:rsidRPr="002B310D">
        <w:rPr>
          <w:b/>
        </w:rPr>
        <w:t xml:space="preserve">1.1.3 Time allocated to history </w:t>
      </w:r>
    </w:p>
    <w:p w:rsidR="00473CBA" w:rsidRPr="00601D07" w:rsidRDefault="00473CBA" w:rsidP="008C12B1">
      <w:pPr>
        <w:jc w:val="both"/>
      </w:pPr>
      <w:r w:rsidRPr="00601D07">
        <w:t>The amount of time allocated to history teaching seems to be a continuing issue of concern in some schools</w:t>
      </w:r>
      <w:r>
        <w:t xml:space="preserve">, particularly in older style academies which are more likely than any other type of school to restrict history at Key Stage 3 to an hour a week or less. While some pupils receive a much more generous time allocation, only </w:t>
      </w:r>
      <w:r w:rsidRPr="00601D07">
        <w:t xml:space="preserve">55% of </w:t>
      </w:r>
      <w:r>
        <w:t xml:space="preserve">respondents report that </w:t>
      </w:r>
      <w:r w:rsidRPr="00601D07">
        <w:t>pupils are taught history for more than 75 minutes a week</w:t>
      </w:r>
      <w:r>
        <w:t xml:space="preserve"> in Year 7. </w:t>
      </w:r>
    </w:p>
    <w:p w:rsidR="006C0F21" w:rsidRPr="006C0F21" w:rsidRDefault="000A2429" w:rsidP="006C0F21">
      <w:pPr>
        <w:rPr>
          <w:b/>
          <w:sz w:val="28"/>
          <w:szCs w:val="28"/>
        </w:rPr>
      </w:pPr>
      <w:r>
        <w:rPr>
          <w:b/>
          <w:sz w:val="28"/>
          <w:szCs w:val="28"/>
        </w:rPr>
        <w:t>1.2</w:t>
      </w:r>
      <w:r w:rsidR="0095490A">
        <w:rPr>
          <w:b/>
          <w:sz w:val="28"/>
          <w:szCs w:val="28"/>
        </w:rPr>
        <w:t xml:space="preserve"> </w:t>
      </w:r>
      <w:r w:rsidR="006C0F21" w:rsidRPr="006C0F21">
        <w:rPr>
          <w:b/>
          <w:sz w:val="28"/>
          <w:szCs w:val="28"/>
        </w:rPr>
        <w:t>GCSE History</w:t>
      </w:r>
    </w:p>
    <w:p w:rsidR="00754C7F" w:rsidRPr="002B310D" w:rsidRDefault="00EB068E" w:rsidP="00754C7F">
      <w:pPr>
        <w:rPr>
          <w:b/>
        </w:rPr>
      </w:pPr>
      <w:r w:rsidRPr="002B310D">
        <w:rPr>
          <w:b/>
        </w:rPr>
        <w:t>1.2.1 The l</w:t>
      </w:r>
      <w:r w:rsidR="00754C7F" w:rsidRPr="002B310D">
        <w:rPr>
          <w:b/>
        </w:rPr>
        <w:t>ength of GCSE history courses</w:t>
      </w:r>
    </w:p>
    <w:p w:rsidR="004803B8" w:rsidRDefault="00EB068E" w:rsidP="008C12B1">
      <w:pPr>
        <w:jc w:val="both"/>
        <w:rPr>
          <w:i/>
        </w:rPr>
      </w:pPr>
      <w:r>
        <w:t>There is considerable variety (and often considerable obscurity) in terms of GCSE provision for students. P</w:t>
      </w:r>
      <w:r w:rsidR="00754C7F" w:rsidRPr="00601D07">
        <w:t xml:space="preserve">aradoxically, one-year history GCSE courses are more likely to be taught in schools that have allocated three years to their </w:t>
      </w:r>
      <w:r>
        <w:t xml:space="preserve">Key Stage 4 teaching: of schools with only two years available for Key Stage 4 only 3% offer a one-year programme; in schools with three years available (because of a condensed two-year Key Stage 3) some 18% of respondents report </w:t>
      </w:r>
      <w:r w:rsidRPr="00601D07">
        <w:t>they offer a one-year GCSE history course</w:t>
      </w:r>
      <w:r>
        <w:t xml:space="preserve">. Forty per cent of such schools </w:t>
      </w:r>
      <w:r w:rsidRPr="00601D07">
        <w:t xml:space="preserve">offer the standard two-year GCSE course, </w:t>
      </w:r>
      <w:r>
        <w:t xml:space="preserve">while </w:t>
      </w:r>
      <w:r w:rsidRPr="00601D07">
        <w:t xml:space="preserve">over 36% report that they offer a three-year GCSE programme.   </w:t>
      </w:r>
      <w:r w:rsidR="004803B8">
        <w:rPr>
          <w:i/>
        </w:rPr>
        <w:br/>
      </w:r>
    </w:p>
    <w:p w:rsidR="00EB068E" w:rsidRPr="004803B8" w:rsidRDefault="00EB068E" w:rsidP="008C12B1">
      <w:pPr>
        <w:jc w:val="both"/>
        <w:rPr>
          <w:i/>
        </w:rPr>
      </w:pPr>
      <w:r w:rsidRPr="00601D07">
        <w:lastRenderedPageBreak/>
        <w:t>The pattern of this provision raises a number of questions, particularly regarding students in schools with a three-year Key Stage 4, as it is unclear what students do afterwards if they finish their courses in one or two years</w:t>
      </w:r>
      <w:r>
        <w:t>. There are also perhaps</w:t>
      </w:r>
      <w:r w:rsidRPr="00601D07">
        <w:t xml:space="preserve"> questions </w:t>
      </w:r>
      <w:r>
        <w:t xml:space="preserve">to be asked </w:t>
      </w:r>
      <w:r w:rsidRPr="00601D07">
        <w:t xml:space="preserve">about the experience of students spending three years covering a course </w:t>
      </w:r>
      <w:r>
        <w:t xml:space="preserve">that was </w:t>
      </w:r>
      <w:r w:rsidRPr="00601D07">
        <w:t>designed to be taught in two.</w:t>
      </w:r>
    </w:p>
    <w:p w:rsidR="00EB068E" w:rsidRPr="00601D07" w:rsidRDefault="00EB068E" w:rsidP="00EB068E">
      <w:pPr>
        <w:rPr>
          <w:b/>
          <w:sz w:val="24"/>
          <w:szCs w:val="24"/>
        </w:rPr>
      </w:pPr>
      <w:r>
        <w:rPr>
          <w:b/>
          <w:sz w:val="24"/>
          <w:szCs w:val="24"/>
        </w:rPr>
        <w:t xml:space="preserve">1.2.2 </w:t>
      </w:r>
      <w:r w:rsidRPr="00601D07">
        <w:rPr>
          <w:b/>
          <w:sz w:val="24"/>
          <w:szCs w:val="24"/>
        </w:rPr>
        <w:t>Patterns of uptake and class sizes at GCSE</w:t>
      </w:r>
    </w:p>
    <w:p w:rsidR="00EB068E" w:rsidRDefault="00EB068E" w:rsidP="008C12B1">
      <w:pPr>
        <w:jc w:val="both"/>
      </w:pPr>
      <w:r w:rsidRPr="00601D07">
        <w:t>In nearly half of the schools overall, respondents report a rise in numbers taking GCSE history</w:t>
      </w:r>
      <w:r>
        <w:t xml:space="preserve">, with more than </w:t>
      </w:r>
      <w:r w:rsidRPr="00601D07">
        <w:t>50% of respondents report</w:t>
      </w:r>
      <w:r>
        <w:t>ing that</w:t>
      </w:r>
      <w:r w:rsidRPr="00601D07">
        <w:t xml:space="preserve"> more GCSE classes </w:t>
      </w:r>
      <w:r>
        <w:t xml:space="preserve">are </w:t>
      </w:r>
      <w:r w:rsidRPr="00601D07">
        <w:t xml:space="preserve">being created, </w:t>
      </w:r>
      <w:r>
        <w:t xml:space="preserve">and over 45% </w:t>
      </w:r>
      <w:r w:rsidRPr="00601D07">
        <w:t>report</w:t>
      </w:r>
      <w:r>
        <w:t>ing</w:t>
      </w:r>
      <w:r w:rsidRPr="00601D07">
        <w:t xml:space="preserve"> an increase in average class size</w:t>
      </w:r>
      <w:r>
        <w:t xml:space="preserve">. The </w:t>
      </w:r>
      <w:r w:rsidRPr="00601D07">
        <w:t xml:space="preserve">majority of </w:t>
      </w:r>
      <w:r>
        <w:t xml:space="preserve">GCSE </w:t>
      </w:r>
      <w:r w:rsidRPr="00601D07">
        <w:t xml:space="preserve">classes </w:t>
      </w:r>
      <w:r>
        <w:t xml:space="preserve">now have </w:t>
      </w:r>
      <w:r w:rsidRPr="00601D07">
        <w:t>25-30 students, except for independent and grammar schools where the majority of classes have fewer than 25 students.</w:t>
      </w:r>
    </w:p>
    <w:p w:rsidR="00EB068E" w:rsidRPr="00601D07" w:rsidRDefault="00EB068E" w:rsidP="008C12B1">
      <w:pPr>
        <w:jc w:val="both"/>
      </w:pPr>
      <w:r>
        <w:t xml:space="preserve">The </w:t>
      </w:r>
      <w:r w:rsidRPr="00601D07">
        <w:t xml:space="preserve">percentage of the year group who opt for history is significantly different between schools that offer a two-year and three-year Key Stage 3. In schools with a shorter two-year Key Stage 3, just over 50% of schools report </w:t>
      </w:r>
      <w:r>
        <w:t xml:space="preserve">that </w:t>
      </w:r>
      <w:r w:rsidRPr="00601D07">
        <w:t xml:space="preserve">more than a third of the cohort </w:t>
      </w:r>
      <w:r>
        <w:t xml:space="preserve">is </w:t>
      </w:r>
      <w:r w:rsidRPr="00601D07">
        <w:t>studying history, whereas the figure is nearer 80% for schools with a traditional three-year Key Stage 3</w:t>
      </w:r>
      <w:r>
        <w:t xml:space="preserve">. It appears that students with more experience of the subject in the early years of secondary school are more likely to find the subject interesting and worthwhile. </w:t>
      </w:r>
    </w:p>
    <w:p w:rsidR="006C0F21" w:rsidRPr="002B310D" w:rsidRDefault="00E46D78" w:rsidP="006C0F21">
      <w:pPr>
        <w:rPr>
          <w:b/>
        </w:rPr>
      </w:pPr>
      <w:r w:rsidRPr="002B310D">
        <w:rPr>
          <w:b/>
        </w:rPr>
        <w:t xml:space="preserve">1.2.3 </w:t>
      </w:r>
      <w:r w:rsidR="006C0F21" w:rsidRPr="002B310D">
        <w:rPr>
          <w:b/>
        </w:rPr>
        <w:t>The extent of non-specialist teaching at GCSE</w:t>
      </w:r>
    </w:p>
    <w:p w:rsidR="006C0F21" w:rsidRPr="00FE72A2" w:rsidRDefault="006C0F21" w:rsidP="008C12B1">
      <w:pPr>
        <w:jc w:val="both"/>
      </w:pPr>
      <w:r>
        <w:t xml:space="preserve">In the vast majority of cases all GCSE classes in history are still taught by a history specialist, but this is only the case in 64% of the old style academies (those established in areas of socio-economic deprivation). While this is an improvement on last year’s figure of 44%, it remains an important concern, as do the small number of schools (comprehensives and academies) in which over half the teachers who are teaching GCSE history </w:t>
      </w:r>
      <w:r w:rsidRPr="00FE72A2">
        <w:t xml:space="preserve">groups are not history specialists.  </w:t>
      </w:r>
    </w:p>
    <w:p w:rsidR="006C0F21" w:rsidRPr="002B310D" w:rsidRDefault="00E46D78" w:rsidP="006C0F21">
      <w:pPr>
        <w:rPr>
          <w:b/>
        </w:rPr>
      </w:pPr>
      <w:r w:rsidRPr="002B310D">
        <w:rPr>
          <w:b/>
        </w:rPr>
        <w:t>1.2.4</w:t>
      </w:r>
      <w:r w:rsidR="000A2429" w:rsidRPr="002B310D">
        <w:rPr>
          <w:b/>
        </w:rPr>
        <w:t xml:space="preserve"> </w:t>
      </w:r>
      <w:r w:rsidR="006C0F21" w:rsidRPr="002B310D">
        <w:rPr>
          <w:b/>
        </w:rPr>
        <w:t xml:space="preserve">The </w:t>
      </w:r>
      <w:r w:rsidR="005854E2" w:rsidRPr="002B310D">
        <w:rPr>
          <w:b/>
        </w:rPr>
        <w:t xml:space="preserve">extent to </w:t>
      </w:r>
      <w:r w:rsidR="006C0F21" w:rsidRPr="002B310D">
        <w:rPr>
          <w:b/>
        </w:rPr>
        <w:t xml:space="preserve">which </w:t>
      </w:r>
      <w:r w:rsidR="005854E2" w:rsidRPr="002B310D">
        <w:rPr>
          <w:b/>
        </w:rPr>
        <w:t xml:space="preserve">certain </w:t>
      </w:r>
      <w:r w:rsidR="006C0F21" w:rsidRPr="002B310D">
        <w:rPr>
          <w:b/>
        </w:rPr>
        <w:t xml:space="preserve">students are steered away from </w:t>
      </w:r>
      <w:r w:rsidR="005854E2" w:rsidRPr="002B310D">
        <w:rPr>
          <w:b/>
        </w:rPr>
        <w:t xml:space="preserve">GCSE </w:t>
      </w:r>
      <w:r w:rsidR="006C0F21" w:rsidRPr="002B310D">
        <w:rPr>
          <w:b/>
        </w:rPr>
        <w:t xml:space="preserve">history </w:t>
      </w:r>
    </w:p>
    <w:p w:rsidR="006C0F21" w:rsidRDefault="006C0F21" w:rsidP="008C12B1">
      <w:pPr>
        <w:jc w:val="both"/>
      </w:pPr>
      <w:r w:rsidRPr="00FE72A2">
        <w:t>The concerns identified last year about students bei</w:t>
      </w:r>
      <w:r w:rsidR="003F2E5E" w:rsidRPr="00FE72A2">
        <w:t>ng actively steered away or specifically</w:t>
      </w:r>
      <w:r w:rsidRPr="00FE72A2">
        <w:t xml:space="preserve"> prevented from </w:t>
      </w:r>
      <w:r w:rsidR="003F2E5E" w:rsidRPr="00FE72A2">
        <w:t xml:space="preserve">taking </w:t>
      </w:r>
      <w:r w:rsidRPr="00FE72A2">
        <w:t xml:space="preserve">history </w:t>
      </w:r>
      <w:r w:rsidR="005854E2" w:rsidRPr="00FE72A2">
        <w:t>are even more pronounced this year, with 38% of respondents reporting that this is happening in their schools compared with 31% in 2012</w:t>
      </w:r>
      <w:r w:rsidR="003F2E5E" w:rsidRPr="00FE72A2">
        <w:t xml:space="preserve"> (and 16% in 2011)</w:t>
      </w:r>
      <w:r w:rsidR="005854E2" w:rsidRPr="00FE72A2">
        <w:t xml:space="preserve">. </w:t>
      </w:r>
      <w:r w:rsidR="008C12B1" w:rsidRPr="00FE72A2">
        <w:t>R</w:t>
      </w:r>
      <w:r w:rsidR="00754C7F" w:rsidRPr="00FE72A2">
        <w:t xml:space="preserve">estrictions are </w:t>
      </w:r>
      <w:r w:rsidRPr="00FE72A2">
        <w:t>usually based on students’</w:t>
      </w:r>
      <w:r>
        <w:t xml:space="preserve"> prior or predicted attainment, but very different standards </w:t>
      </w:r>
      <w:r w:rsidR="00754C7F">
        <w:t xml:space="preserve">are </w:t>
      </w:r>
      <w:r>
        <w:t>applied in different contexts</w:t>
      </w:r>
      <w:r w:rsidR="008C12B1">
        <w:t xml:space="preserve">: </w:t>
      </w:r>
      <w:r>
        <w:t>some schools allow students to take history only if they seem likely to achieve a grade C</w:t>
      </w:r>
      <w:r w:rsidR="008C12B1">
        <w:t>, while others regard</w:t>
      </w:r>
      <w:r>
        <w:t xml:space="preserve"> much lower grades (F or even G) a</w:t>
      </w:r>
      <w:r w:rsidR="00754C7F">
        <w:t>s</w:t>
      </w:r>
      <w:r>
        <w:t xml:space="preserve"> nonetheless worthwhile. </w:t>
      </w:r>
    </w:p>
    <w:p w:rsidR="006C0F21" w:rsidRDefault="006C0F21" w:rsidP="008C12B1">
      <w:pPr>
        <w:jc w:val="both"/>
      </w:pPr>
      <w:r>
        <w:t>Particularly worrying is the way in which the E-</w:t>
      </w:r>
      <w:proofErr w:type="spellStart"/>
      <w:r>
        <w:t>Bacc</w:t>
      </w:r>
      <w:proofErr w:type="spellEnd"/>
      <w:r>
        <w:t xml:space="preserve"> </w:t>
      </w:r>
      <w:r w:rsidR="00754C7F">
        <w:t>measure</w:t>
      </w:r>
      <w:r>
        <w:t xml:space="preserve"> can make students’ chance</w:t>
      </w:r>
      <w:r w:rsidR="00754C7F">
        <w:t>s</w:t>
      </w:r>
      <w:r>
        <w:t xml:space="preserve"> of </w:t>
      </w:r>
      <w:r w:rsidR="008C12B1">
        <w:t xml:space="preserve">being allowed </w:t>
      </w:r>
      <w:proofErr w:type="gramStart"/>
      <w:r w:rsidR="008C12B1">
        <w:t xml:space="preserve">to </w:t>
      </w:r>
      <w:r>
        <w:t xml:space="preserve"> take</w:t>
      </w:r>
      <w:proofErr w:type="gramEnd"/>
      <w:r>
        <w:t xml:space="preserve"> history dependent on their success in </w:t>
      </w:r>
      <w:r>
        <w:rPr>
          <w:i/>
        </w:rPr>
        <w:t xml:space="preserve">other </w:t>
      </w:r>
      <w:r>
        <w:t>E-</w:t>
      </w:r>
      <w:proofErr w:type="spellStart"/>
      <w:r>
        <w:t>Bacc</w:t>
      </w:r>
      <w:proofErr w:type="spellEnd"/>
      <w:r>
        <w:t xml:space="preserve"> subjects, such as Foreign Languages or Science. </w:t>
      </w:r>
    </w:p>
    <w:p w:rsidR="006C0F21" w:rsidRDefault="006C0F21" w:rsidP="008C12B1">
      <w:pPr>
        <w:jc w:val="both"/>
      </w:pPr>
      <w:r>
        <w:t xml:space="preserve">As last year, it is clear that while many schools do give their students a genuinely free choice about continuing with the subject at GCSE, others simply rule out the option of any kind of history study beyond the end of Key Stage 3 for those who do not meet minimum requirements in terms of their current or expected attainment. There is certainly no sense of national entitlement that any student who wishes to continue with the subject beyond the age of 14 has the right to do so.  </w:t>
      </w:r>
    </w:p>
    <w:p w:rsidR="006C0F21" w:rsidRPr="002B310D" w:rsidRDefault="002B310D" w:rsidP="006C0F21">
      <w:pPr>
        <w:rPr>
          <w:rFonts w:ascii="Calibri" w:eastAsia="Times New Roman" w:hAnsi="Calibri" w:cs="Times New Roman"/>
          <w:b/>
          <w:bCs/>
          <w:color w:val="000000"/>
          <w:lang w:eastAsia="en-GB"/>
        </w:rPr>
      </w:pPr>
      <w:r w:rsidRPr="002B310D">
        <w:rPr>
          <w:b/>
        </w:rPr>
        <w:t>1.2.5</w:t>
      </w:r>
      <w:r w:rsidR="0095490A" w:rsidRPr="002B310D">
        <w:rPr>
          <w:b/>
        </w:rPr>
        <w:t xml:space="preserve"> </w:t>
      </w:r>
      <w:r w:rsidR="006C0F21" w:rsidRPr="002B310D">
        <w:rPr>
          <w:b/>
        </w:rPr>
        <w:t xml:space="preserve">Views of the impact on history of proposed changes to accountability measures </w:t>
      </w:r>
    </w:p>
    <w:p w:rsidR="006C0F21" w:rsidRDefault="006C0F21" w:rsidP="008C12B1">
      <w:pPr>
        <w:jc w:val="both"/>
      </w:pPr>
      <w:r>
        <w:t xml:space="preserve">Teachers </w:t>
      </w:r>
      <w:r w:rsidR="0095490A">
        <w:t>had widely divergent views of the likely impact of a new accountability measure based on students’</w:t>
      </w:r>
      <w:r w:rsidR="00754C7F">
        <w:t xml:space="preserve"> achievement across eight</w:t>
      </w:r>
      <w:r w:rsidR="0095490A">
        <w:t xml:space="preserve"> subjects and compared with their Key Stage 2 SAT results. </w:t>
      </w:r>
      <w:r>
        <w:t>Some expected to gain time back from the core subjects</w:t>
      </w:r>
      <w:r w:rsidR="00754C7F">
        <w:t xml:space="preserve">, while </w:t>
      </w:r>
      <w:r>
        <w:t xml:space="preserve">others expected to experience more pressure but gain no more </w:t>
      </w:r>
      <w:r>
        <w:lastRenderedPageBreak/>
        <w:t xml:space="preserve">time. Some thought that history would be valued for delivering high grades; others feared that since it was already </w:t>
      </w:r>
      <w:r w:rsidR="00221AEA">
        <w:t xml:space="preserve">perceived as </w:t>
      </w:r>
      <w:r>
        <w:t xml:space="preserve">difficult </w:t>
      </w:r>
      <w:r w:rsidR="00221AEA">
        <w:t xml:space="preserve">a difficult subject by their senior leadership teams, more </w:t>
      </w:r>
      <w:r>
        <w:t xml:space="preserve">students would be steered away from it to something assumed to be easier. </w:t>
      </w:r>
    </w:p>
    <w:p w:rsidR="006C0F21" w:rsidRPr="006C0F21" w:rsidRDefault="000A2429" w:rsidP="006C0F21">
      <w:pPr>
        <w:rPr>
          <w:b/>
          <w:sz w:val="28"/>
          <w:szCs w:val="28"/>
        </w:rPr>
      </w:pPr>
      <w:r>
        <w:rPr>
          <w:b/>
          <w:sz w:val="28"/>
          <w:szCs w:val="28"/>
        </w:rPr>
        <w:t xml:space="preserve">1.3 </w:t>
      </w:r>
      <w:r w:rsidR="006C0F21" w:rsidRPr="006C0F21">
        <w:rPr>
          <w:b/>
          <w:sz w:val="28"/>
          <w:szCs w:val="28"/>
        </w:rPr>
        <w:t xml:space="preserve">AS and A2 history </w:t>
      </w:r>
    </w:p>
    <w:p w:rsidR="006C0F21" w:rsidRPr="002B310D" w:rsidRDefault="000A2429" w:rsidP="006C0F21">
      <w:pPr>
        <w:rPr>
          <w:b/>
        </w:rPr>
      </w:pPr>
      <w:r w:rsidRPr="002B310D">
        <w:rPr>
          <w:b/>
        </w:rPr>
        <w:t xml:space="preserve">1.3.1 </w:t>
      </w:r>
      <w:r w:rsidR="006C0F21" w:rsidRPr="002B310D">
        <w:rPr>
          <w:b/>
        </w:rPr>
        <w:t>Changes in A level uptake</w:t>
      </w:r>
    </w:p>
    <w:p w:rsidR="006C0F21" w:rsidRDefault="006C0F21" w:rsidP="008C12B1">
      <w:pPr>
        <w:jc w:val="both"/>
      </w:pPr>
      <w:r>
        <w:t xml:space="preserve">While most schools reported static numbers or the regular annual fluctuations, the numbers reporting an increase in AS level students over the past three years were three times higher than those reporting a decrease. A similar tendency was also evident (though not quite so pronounced) at A2. </w:t>
      </w:r>
      <w:r w:rsidR="000A2429">
        <w:t xml:space="preserve"> However, the changes to AS and A2 that will take effect from 2015 were thought likely to jeopardise these gains. </w:t>
      </w:r>
    </w:p>
    <w:p w:rsidR="006C0F21" w:rsidRPr="002B310D" w:rsidRDefault="000A2429" w:rsidP="006C0F21">
      <w:pPr>
        <w:rPr>
          <w:b/>
        </w:rPr>
      </w:pPr>
      <w:r w:rsidRPr="002B310D">
        <w:rPr>
          <w:b/>
        </w:rPr>
        <w:t xml:space="preserve">1.3.2 </w:t>
      </w:r>
      <w:r w:rsidR="006C0F21" w:rsidRPr="002B310D">
        <w:rPr>
          <w:b/>
        </w:rPr>
        <w:t>Reactions to the changes (from2015) separating AS from A2</w:t>
      </w:r>
    </w:p>
    <w:p w:rsidR="006C0F21" w:rsidRDefault="006C0F21" w:rsidP="004803B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Over half of respondents in schools and colleges in which A level is currently taught </w:t>
      </w:r>
      <w:proofErr w:type="gramStart"/>
      <w:r w:rsidR="00754C7F">
        <w:rPr>
          <w:rFonts w:ascii="Calibri" w:eastAsia="Times New Roman" w:hAnsi="Calibri" w:cs="Times New Roman"/>
          <w:bCs/>
          <w:color w:val="000000"/>
          <w:lang w:eastAsia="en-GB"/>
        </w:rPr>
        <w:t xml:space="preserve">rejected </w:t>
      </w:r>
      <w:r>
        <w:rPr>
          <w:rFonts w:ascii="Calibri" w:eastAsia="Times New Roman" w:hAnsi="Calibri" w:cs="Times New Roman"/>
          <w:bCs/>
          <w:color w:val="000000"/>
          <w:lang w:eastAsia="en-GB"/>
        </w:rPr>
        <w:t xml:space="preserve"> the</w:t>
      </w:r>
      <w:proofErr w:type="gramEnd"/>
      <w:r>
        <w:rPr>
          <w:rFonts w:ascii="Calibri" w:eastAsia="Times New Roman" w:hAnsi="Calibri" w:cs="Times New Roman"/>
          <w:bCs/>
          <w:color w:val="000000"/>
          <w:lang w:eastAsia="en-GB"/>
        </w:rPr>
        <w:t xml:space="preserve"> suggestion that new arrangements in which AS level </w:t>
      </w:r>
      <w:r w:rsidR="00E46D78">
        <w:rPr>
          <w:rFonts w:ascii="Calibri" w:eastAsia="Times New Roman" w:hAnsi="Calibri" w:cs="Times New Roman"/>
          <w:bCs/>
          <w:color w:val="000000"/>
          <w:lang w:eastAsia="en-GB"/>
        </w:rPr>
        <w:t xml:space="preserve">will </w:t>
      </w:r>
      <w:r>
        <w:rPr>
          <w:rFonts w:ascii="Calibri" w:eastAsia="Times New Roman" w:hAnsi="Calibri" w:cs="Times New Roman"/>
          <w:bCs/>
          <w:color w:val="000000"/>
          <w:lang w:eastAsia="en-GB"/>
        </w:rPr>
        <w:t xml:space="preserve">become an entirely separate qualification from A level would </w:t>
      </w:r>
      <w:r w:rsidR="000A2429">
        <w:rPr>
          <w:rFonts w:ascii="Calibri" w:eastAsia="Times New Roman" w:hAnsi="Calibri" w:cs="Times New Roman"/>
          <w:bCs/>
          <w:color w:val="000000"/>
          <w:lang w:eastAsia="en-GB"/>
        </w:rPr>
        <w:t>improve students</w:t>
      </w:r>
      <w:r w:rsidR="00C34D4F">
        <w:rPr>
          <w:rFonts w:ascii="Calibri" w:eastAsia="Times New Roman" w:hAnsi="Calibri" w:cs="Times New Roman"/>
          <w:bCs/>
          <w:color w:val="000000"/>
          <w:lang w:eastAsia="en-GB"/>
        </w:rPr>
        <w:t>’</w:t>
      </w:r>
      <w:r w:rsidR="000A2429">
        <w:rPr>
          <w:rFonts w:ascii="Calibri" w:eastAsia="Times New Roman" w:hAnsi="Calibri" w:cs="Times New Roman"/>
          <w:bCs/>
          <w:color w:val="000000"/>
          <w:lang w:eastAsia="en-GB"/>
        </w:rPr>
        <w:t xml:space="preserve"> learning and better prepare them for university study. </w:t>
      </w:r>
      <w:r>
        <w:rPr>
          <w:rFonts w:ascii="Calibri" w:eastAsia="Times New Roman" w:hAnsi="Calibri" w:cs="Times New Roman"/>
          <w:bCs/>
          <w:color w:val="000000"/>
          <w:lang w:eastAsia="en-GB"/>
        </w:rPr>
        <w:t>The strength of opposition to the change was most pronounced among sixth form colleges</w:t>
      </w:r>
      <w:r w:rsidR="000A2429">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 </w:t>
      </w:r>
      <w:r w:rsidR="00754C7F">
        <w:rPr>
          <w:rFonts w:ascii="Calibri" w:eastAsia="Times New Roman" w:hAnsi="Calibri" w:cs="Times New Roman"/>
          <w:bCs/>
          <w:color w:val="000000"/>
          <w:lang w:eastAsia="en-GB"/>
        </w:rPr>
        <w:t xml:space="preserve">while </w:t>
      </w:r>
      <w:r>
        <w:rPr>
          <w:rFonts w:ascii="Calibri" w:eastAsia="Times New Roman" w:hAnsi="Calibri" w:cs="Times New Roman"/>
          <w:bCs/>
          <w:color w:val="000000"/>
          <w:lang w:eastAsia="en-GB"/>
        </w:rPr>
        <w:t xml:space="preserve">support </w:t>
      </w:r>
      <w:r w:rsidR="000A2429">
        <w:rPr>
          <w:rFonts w:ascii="Calibri" w:eastAsia="Times New Roman" w:hAnsi="Calibri" w:cs="Times New Roman"/>
          <w:bCs/>
          <w:color w:val="000000"/>
          <w:lang w:eastAsia="en-GB"/>
        </w:rPr>
        <w:t xml:space="preserve">for them </w:t>
      </w:r>
      <w:r w:rsidR="00754C7F">
        <w:rPr>
          <w:rFonts w:ascii="Calibri" w:eastAsia="Times New Roman" w:hAnsi="Calibri" w:cs="Times New Roman"/>
          <w:bCs/>
          <w:color w:val="000000"/>
          <w:lang w:eastAsia="en-GB"/>
        </w:rPr>
        <w:t>was</w:t>
      </w:r>
      <w:r>
        <w:rPr>
          <w:rFonts w:ascii="Calibri" w:eastAsia="Times New Roman" w:hAnsi="Calibri" w:cs="Times New Roman"/>
          <w:bCs/>
          <w:color w:val="000000"/>
          <w:lang w:eastAsia="en-GB"/>
        </w:rPr>
        <w:t xml:space="preserve"> more </w:t>
      </w:r>
      <w:r w:rsidR="00754C7F">
        <w:rPr>
          <w:rFonts w:ascii="Calibri" w:eastAsia="Times New Roman" w:hAnsi="Calibri" w:cs="Times New Roman"/>
          <w:bCs/>
          <w:color w:val="000000"/>
          <w:lang w:eastAsia="en-GB"/>
        </w:rPr>
        <w:t xml:space="preserve">evident </w:t>
      </w:r>
      <w:r>
        <w:rPr>
          <w:rFonts w:ascii="Calibri" w:eastAsia="Times New Roman" w:hAnsi="Calibri" w:cs="Times New Roman"/>
          <w:bCs/>
          <w:color w:val="000000"/>
          <w:lang w:eastAsia="en-GB"/>
        </w:rPr>
        <w:t xml:space="preserve">among grammar school respondents, with the independent schools very evenly divided in their views. </w:t>
      </w:r>
      <w:r w:rsidR="008C12B1">
        <w:rPr>
          <w:rFonts w:ascii="Calibri" w:eastAsia="Times New Roman" w:hAnsi="Calibri" w:cs="Times New Roman"/>
          <w:bCs/>
          <w:color w:val="000000"/>
          <w:lang w:eastAsia="en-GB"/>
        </w:rPr>
        <w:t xml:space="preserve"> </w:t>
      </w:r>
      <w:r>
        <w:rPr>
          <w:rFonts w:ascii="Calibri" w:eastAsia="Times New Roman" w:hAnsi="Calibri" w:cs="Times New Roman"/>
          <w:bCs/>
          <w:color w:val="000000"/>
          <w:lang w:eastAsia="en-GB"/>
        </w:rPr>
        <w:t xml:space="preserve">When asked specifically about the likely impact of the changes on history provision in their own contexts, </w:t>
      </w:r>
      <w:r w:rsidR="000A2429">
        <w:rPr>
          <w:rFonts w:ascii="Calibri" w:eastAsia="Times New Roman" w:hAnsi="Calibri" w:cs="Times New Roman"/>
          <w:bCs/>
          <w:color w:val="000000"/>
          <w:lang w:eastAsia="en-GB"/>
        </w:rPr>
        <w:t>a</w:t>
      </w:r>
      <w:r>
        <w:rPr>
          <w:rFonts w:ascii="Calibri" w:eastAsia="Times New Roman" w:hAnsi="Calibri" w:cs="Times New Roman"/>
          <w:bCs/>
          <w:color w:val="000000"/>
          <w:lang w:eastAsia="en-GB"/>
        </w:rPr>
        <w:t xml:space="preserve"> quarter of all respondents thought that the impact would be negative, </w:t>
      </w:r>
      <w:r w:rsidR="00754C7F">
        <w:rPr>
          <w:rFonts w:ascii="Calibri" w:eastAsia="Times New Roman" w:hAnsi="Calibri" w:cs="Times New Roman"/>
          <w:bCs/>
          <w:color w:val="000000"/>
          <w:lang w:eastAsia="en-GB"/>
        </w:rPr>
        <w:t xml:space="preserve">contrasted with </w:t>
      </w:r>
      <w:r>
        <w:rPr>
          <w:rFonts w:ascii="Calibri" w:eastAsia="Times New Roman" w:hAnsi="Calibri" w:cs="Times New Roman"/>
          <w:bCs/>
          <w:color w:val="000000"/>
          <w:lang w:eastAsia="en-GB"/>
        </w:rPr>
        <w:t xml:space="preserve"> only 4% </w:t>
      </w:r>
      <w:r w:rsidR="00754C7F">
        <w:rPr>
          <w:rFonts w:ascii="Calibri" w:eastAsia="Times New Roman" w:hAnsi="Calibri" w:cs="Times New Roman"/>
          <w:bCs/>
          <w:color w:val="000000"/>
          <w:lang w:eastAsia="en-GB"/>
        </w:rPr>
        <w:t xml:space="preserve">who </w:t>
      </w:r>
      <w:r>
        <w:rPr>
          <w:rFonts w:ascii="Calibri" w:eastAsia="Times New Roman" w:hAnsi="Calibri" w:cs="Times New Roman"/>
          <w:bCs/>
          <w:color w:val="000000"/>
          <w:lang w:eastAsia="en-GB"/>
        </w:rPr>
        <w:t xml:space="preserve">thought that </w:t>
      </w:r>
      <w:r w:rsidR="00754C7F">
        <w:rPr>
          <w:rFonts w:ascii="Calibri" w:eastAsia="Times New Roman" w:hAnsi="Calibri" w:cs="Times New Roman"/>
          <w:bCs/>
          <w:color w:val="000000"/>
          <w:lang w:eastAsia="en-GB"/>
        </w:rPr>
        <w:t xml:space="preserve">it would be </w:t>
      </w:r>
      <w:r>
        <w:rPr>
          <w:rFonts w:ascii="Calibri" w:eastAsia="Times New Roman" w:hAnsi="Calibri" w:cs="Times New Roman"/>
          <w:bCs/>
          <w:color w:val="000000"/>
          <w:lang w:eastAsia="en-GB"/>
        </w:rPr>
        <w:t>positive</w:t>
      </w:r>
      <w:r w:rsidR="00754C7F">
        <w:rPr>
          <w:rFonts w:ascii="Calibri" w:eastAsia="Times New Roman" w:hAnsi="Calibri" w:cs="Times New Roman"/>
          <w:bCs/>
          <w:color w:val="000000"/>
          <w:lang w:eastAsia="en-GB"/>
        </w:rPr>
        <w:t xml:space="preserve">. </w:t>
      </w:r>
    </w:p>
    <w:p w:rsidR="006C0F21" w:rsidRDefault="006C0F21" w:rsidP="004803B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The most common concern was about t</w:t>
      </w:r>
      <w:r w:rsidR="00C34D4F">
        <w:rPr>
          <w:rFonts w:ascii="Calibri" w:eastAsia="Times New Roman" w:hAnsi="Calibri" w:cs="Times New Roman"/>
          <w:bCs/>
          <w:color w:val="000000"/>
          <w:lang w:eastAsia="en-GB"/>
        </w:rPr>
        <w:t>he narrowing of students’ sixth-</w:t>
      </w:r>
      <w:r>
        <w:rPr>
          <w:rFonts w:ascii="Calibri" w:eastAsia="Times New Roman" w:hAnsi="Calibri" w:cs="Times New Roman"/>
          <w:bCs/>
          <w:color w:val="000000"/>
          <w:lang w:eastAsia="en-GB"/>
        </w:rPr>
        <w:t xml:space="preserve">form studies, with far fewer students (particularly those taking science subjects as their </w:t>
      </w:r>
      <w:r w:rsidR="000A2429">
        <w:rPr>
          <w:rFonts w:ascii="Calibri" w:eastAsia="Times New Roman" w:hAnsi="Calibri" w:cs="Times New Roman"/>
          <w:bCs/>
          <w:color w:val="000000"/>
          <w:lang w:eastAsia="en-GB"/>
        </w:rPr>
        <w:t xml:space="preserve">main focus) choosing to take </w:t>
      </w:r>
      <w:r>
        <w:rPr>
          <w:rFonts w:ascii="Calibri" w:eastAsia="Times New Roman" w:hAnsi="Calibri" w:cs="Times New Roman"/>
          <w:bCs/>
          <w:color w:val="000000"/>
          <w:lang w:eastAsia="en-GB"/>
        </w:rPr>
        <w:t xml:space="preserve">AS </w:t>
      </w:r>
      <w:r w:rsidR="000A2429">
        <w:rPr>
          <w:rFonts w:ascii="Calibri" w:eastAsia="Times New Roman" w:hAnsi="Calibri" w:cs="Times New Roman"/>
          <w:bCs/>
          <w:color w:val="000000"/>
          <w:lang w:eastAsia="en-GB"/>
        </w:rPr>
        <w:t xml:space="preserve">history </w:t>
      </w:r>
      <w:r>
        <w:rPr>
          <w:rFonts w:ascii="Calibri" w:eastAsia="Times New Roman" w:hAnsi="Calibri" w:cs="Times New Roman"/>
          <w:bCs/>
          <w:color w:val="000000"/>
          <w:lang w:eastAsia="en-GB"/>
        </w:rPr>
        <w:t xml:space="preserve">as a fourth option. The loss of flexibility within the examination arrangements was also expected to lead to the loss of those students who had previously chosen history as a fourth option and then found that they enjoyed or were sufficiently good at the subject to make it worth continuing with it to A level.  </w:t>
      </w:r>
    </w:p>
    <w:p w:rsidR="006C0F21" w:rsidRPr="00471E4E" w:rsidRDefault="006C0F21" w:rsidP="008C12B1">
      <w:pPr>
        <w:jc w:val="both"/>
        <w:rPr>
          <w:b/>
        </w:rPr>
      </w:pPr>
      <w:r>
        <w:rPr>
          <w:rFonts w:ascii="Calibri" w:eastAsia="Times New Roman" w:hAnsi="Calibri" w:cs="Times New Roman"/>
          <w:bCs/>
          <w:color w:val="000000"/>
          <w:lang w:eastAsia="en-GB"/>
        </w:rPr>
        <w:t>Losing the scope to try a subject out without making a two-year commitment to it was</w:t>
      </w:r>
      <w:r w:rsidR="0095490A">
        <w:rPr>
          <w:rFonts w:ascii="Calibri" w:eastAsia="Times New Roman" w:hAnsi="Calibri" w:cs="Times New Roman"/>
          <w:bCs/>
          <w:color w:val="000000"/>
          <w:lang w:eastAsia="en-GB"/>
        </w:rPr>
        <w:t xml:space="preserve"> thought </w:t>
      </w:r>
      <w:r w:rsidR="00754C7F">
        <w:rPr>
          <w:rFonts w:ascii="Calibri" w:eastAsia="Times New Roman" w:hAnsi="Calibri" w:cs="Times New Roman"/>
          <w:bCs/>
          <w:color w:val="000000"/>
          <w:lang w:eastAsia="en-GB"/>
        </w:rPr>
        <w:t xml:space="preserve">likely </w:t>
      </w:r>
      <w:r>
        <w:rPr>
          <w:rFonts w:ascii="Calibri" w:eastAsia="Times New Roman" w:hAnsi="Calibri" w:cs="Times New Roman"/>
          <w:bCs/>
          <w:color w:val="000000"/>
          <w:lang w:eastAsia="en-GB"/>
        </w:rPr>
        <w:t xml:space="preserve">to disadvantage less confident students who </w:t>
      </w:r>
      <w:r w:rsidR="00754C7F">
        <w:rPr>
          <w:rFonts w:ascii="Calibri" w:eastAsia="Times New Roman" w:hAnsi="Calibri" w:cs="Times New Roman"/>
          <w:bCs/>
          <w:color w:val="000000"/>
          <w:lang w:eastAsia="en-GB"/>
        </w:rPr>
        <w:t xml:space="preserve">would no longer </w:t>
      </w:r>
      <w:r>
        <w:rPr>
          <w:rFonts w:ascii="Calibri" w:eastAsia="Times New Roman" w:hAnsi="Calibri" w:cs="Times New Roman"/>
          <w:bCs/>
          <w:color w:val="000000"/>
          <w:lang w:eastAsia="en-GB"/>
        </w:rPr>
        <w:t>be prepared to embark on the course</w:t>
      </w:r>
      <w:r w:rsidR="00754C7F">
        <w:rPr>
          <w:rFonts w:ascii="Calibri" w:eastAsia="Times New Roman" w:hAnsi="Calibri" w:cs="Times New Roman"/>
          <w:bCs/>
          <w:color w:val="000000"/>
          <w:lang w:eastAsia="en-GB"/>
        </w:rPr>
        <w:t xml:space="preserve">. It was also expected to increase </w:t>
      </w:r>
      <w:r>
        <w:rPr>
          <w:rFonts w:ascii="Calibri" w:eastAsia="Times New Roman" w:hAnsi="Calibri" w:cs="Times New Roman"/>
          <w:bCs/>
          <w:color w:val="000000"/>
          <w:lang w:eastAsia="en-GB"/>
        </w:rPr>
        <w:t>perception</w:t>
      </w:r>
      <w:r w:rsidR="00754C7F">
        <w:rPr>
          <w:rFonts w:ascii="Calibri" w:eastAsia="Times New Roman" w:hAnsi="Calibri" w:cs="Times New Roman"/>
          <w:bCs/>
          <w:color w:val="000000"/>
          <w:lang w:eastAsia="en-GB"/>
        </w:rPr>
        <w:t>s</w:t>
      </w:r>
      <w:r>
        <w:rPr>
          <w:rFonts w:ascii="Calibri" w:eastAsia="Times New Roman" w:hAnsi="Calibri" w:cs="Times New Roman"/>
          <w:bCs/>
          <w:color w:val="000000"/>
          <w:lang w:eastAsia="en-GB"/>
        </w:rPr>
        <w:t xml:space="preserve"> of history as a difficult subject</w:t>
      </w:r>
      <w:r w:rsidR="00754C7F">
        <w:rPr>
          <w:rFonts w:ascii="Calibri" w:eastAsia="Times New Roman" w:hAnsi="Calibri" w:cs="Times New Roman"/>
          <w:bCs/>
          <w:color w:val="000000"/>
          <w:lang w:eastAsia="en-GB"/>
        </w:rPr>
        <w:t xml:space="preserve">, and therefore not </w:t>
      </w:r>
      <w:r>
        <w:rPr>
          <w:rFonts w:ascii="Calibri" w:eastAsia="Times New Roman" w:hAnsi="Calibri" w:cs="Times New Roman"/>
          <w:bCs/>
          <w:color w:val="000000"/>
          <w:lang w:eastAsia="en-GB"/>
        </w:rPr>
        <w:t xml:space="preserve">worth pursuing. The lack of opportunity to take re-sits was also thought likely to deter such students from even embarking on a history </w:t>
      </w:r>
      <w:r w:rsidR="00754C7F">
        <w:rPr>
          <w:rFonts w:ascii="Calibri" w:eastAsia="Times New Roman" w:hAnsi="Calibri" w:cs="Times New Roman"/>
          <w:bCs/>
          <w:color w:val="000000"/>
          <w:lang w:eastAsia="en-GB"/>
        </w:rPr>
        <w:t>course</w:t>
      </w:r>
      <w:r>
        <w:rPr>
          <w:rFonts w:ascii="Calibri" w:eastAsia="Times New Roman" w:hAnsi="Calibri" w:cs="Times New Roman"/>
          <w:bCs/>
          <w:color w:val="000000"/>
          <w:lang w:eastAsia="en-GB"/>
        </w:rPr>
        <w:t xml:space="preserve">, prompting them to look for ‘easier’ subjects from the start.  </w:t>
      </w:r>
    </w:p>
    <w:p w:rsidR="008C12B1" w:rsidRDefault="008C12B1" w:rsidP="008C12B1">
      <w:pPr>
        <w:rPr>
          <w:rFonts w:ascii="Calibri" w:eastAsia="Times New Roman" w:hAnsi="Calibri" w:cs="Times New Roman"/>
          <w:b/>
          <w:bCs/>
          <w:color w:val="000000"/>
          <w:sz w:val="28"/>
          <w:szCs w:val="28"/>
          <w:lang w:eastAsia="en-GB"/>
        </w:rPr>
      </w:pPr>
      <w:r w:rsidRPr="008C12B1">
        <w:rPr>
          <w:rFonts w:ascii="Calibri" w:eastAsia="Times New Roman" w:hAnsi="Calibri" w:cs="Times New Roman"/>
          <w:b/>
          <w:bCs/>
          <w:color w:val="000000"/>
          <w:sz w:val="28"/>
          <w:szCs w:val="28"/>
          <w:lang w:eastAsia="en-GB"/>
        </w:rPr>
        <w:t>1.4 Teachers’ concerns</w:t>
      </w:r>
    </w:p>
    <w:p w:rsidR="008C12B1" w:rsidRPr="002B310D" w:rsidRDefault="008C12B1" w:rsidP="008C12B1">
      <w:pPr>
        <w:rPr>
          <w:b/>
        </w:rPr>
      </w:pPr>
      <w:r w:rsidRPr="002B310D">
        <w:rPr>
          <w:rFonts w:ascii="Calibri" w:eastAsia="Times New Roman" w:hAnsi="Calibri" w:cs="Times New Roman"/>
          <w:b/>
          <w:bCs/>
          <w:color w:val="000000"/>
          <w:lang w:eastAsia="en-GB"/>
        </w:rPr>
        <w:t>1.4.1 Curriculum change</w:t>
      </w:r>
    </w:p>
    <w:p w:rsidR="005854E2" w:rsidRDefault="008C12B1" w:rsidP="00A312CD">
      <w:pPr>
        <w:jc w:val="both"/>
        <w:rPr>
          <w:rFonts w:ascii="Calibri" w:eastAsia="Times New Roman" w:hAnsi="Calibri" w:cs="Times New Roman"/>
          <w:bCs/>
          <w:lang w:eastAsia="en-GB"/>
        </w:rPr>
      </w:pPr>
      <w:r>
        <w:rPr>
          <w:rFonts w:ascii="Calibri" w:eastAsia="Times New Roman" w:hAnsi="Calibri" w:cs="Times New Roman"/>
          <w:bCs/>
          <w:lang w:eastAsia="en-GB"/>
        </w:rPr>
        <w:t>T</w:t>
      </w:r>
      <w:r w:rsidRPr="00E46D78">
        <w:rPr>
          <w:rFonts w:ascii="Calibri" w:eastAsia="Times New Roman" w:hAnsi="Calibri" w:cs="Times New Roman"/>
          <w:bCs/>
          <w:lang w:eastAsia="en-GB"/>
        </w:rPr>
        <w:t xml:space="preserve">he most pressing concerns experienced or </w:t>
      </w:r>
      <w:r>
        <w:rPr>
          <w:rFonts w:ascii="Calibri" w:eastAsia="Times New Roman" w:hAnsi="Calibri" w:cs="Times New Roman"/>
          <w:bCs/>
          <w:lang w:eastAsia="en-GB"/>
        </w:rPr>
        <w:t xml:space="preserve">anticipated </w:t>
      </w:r>
      <w:r w:rsidRPr="00E46D78">
        <w:rPr>
          <w:rFonts w:ascii="Calibri" w:eastAsia="Times New Roman" w:hAnsi="Calibri" w:cs="Times New Roman"/>
          <w:bCs/>
          <w:lang w:eastAsia="en-GB"/>
        </w:rPr>
        <w:t>by teachers relate to the process of curriculum change. While the most extreme of the</w:t>
      </w:r>
      <w:r>
        <w:rPr>
          <w:rFonts w:ascii="Calibri" w:eastAsia="Times New Roman" w:hAnsi="Calibri" w:cs="Times New Roman"/>
          <w:bCs/>
          <w:lang w:eastAsia="en-GB"/>
        </w:rPr>
        <w:t>m</w:t>
      </w:r>
      <w:r w:rsidRPr="00E46D78">
        <w:rPr>
          <w:rFonts w:ascii="Calibri" w:eastAsia="Times New Roman" w:hAnsi="Calibri" w:cs="Times New Roman"/>
          <w:bCs/>
          <w:lang w:eastAsia="en-GB"/>
        </w:rPr>
        <w:t xml:space="preserve"> – the inappropriate nature of the proposed changes and </w:t>
      </w:r>
      <w:r>
        <w:rPr>
          <w:rFonts w:ascii="Calibri" w:eastAsia="Times New Roman" w:hAnsi="Calibri" w:cs="Times New Roman"/>
          <w:bCs/>
          <w:lang w:eastAsia="en-GB"/>
        </w:rPr>
        <w:t xml:space="preserve">a </w:t>
      </w:r>
      <w:r w:rsidRPr="00E46D78">
        <w:rPr>
          <w:rFonts w:ascii="Calibri" w:eastAsia="Times New Roman" w:hAnsi="Calibri" w:cs="Times New Roman"/>
          <w:bCs/>
          <w:lang w:eastAsia="en-GB"/>
        </w:rPr>
        <w:t xml:space="preserve">sense that teachers’ views were </w:t>
      </w:r>
      <w:r>
        <w:rPr>
          <w:rFonts w:ascii="Calibri" w:eastAsia="Times New Roman" w:hAnsi="Calibri" w:cs="Times New Roman"/>
          <w:bCs/>
          <w:lang w:eastAsia="en-GB"/>
        </w:rPr>
        <w:t xml:space="preserve">being ignored </w:t>
      </w:r>
      <w:r w:rsidRPr="00E46D78">
        <w:rPr>
          <w:rFonts w:ascii="Calibri" w:eastAsia="Times New Roman" w:hAnsi="Calibri" w:cs="Times New Roman"/>
          <w:bCs/>
          <w:lang w:eastAsia="en-GB"/>
        </w:rPr>
        <w:t>– may have been partly addressed by the publication of a significantly revised second draft</w:t>
      </w:r>
      <w:r>
        <w:rPr>
          <w:rFonts w:ascii="Calibri" w:eastAsia="Times New Roman" w:hAnsi="Calibri" w:cs="Times New Roman"/>
          <w:bCs/>
          <w:lang w:eastAsia="en-GB"/>
        </w:rPr>
        <w:t xml:space="preserve"> of the National Curriculum for history (in July 2013), many concerns relate</w:t>
      </w:r>
      <w:r w:rsidRPr="00E46D78">
        <w:rPr>
          <w:rFonts w:ascii="Calibri" w:eastAsia="Times New Roman" w:hAnsi="Calibri" w:cs="Times New Roman"/>
          <w:bCs/>
          <w:lang w:eastAsia="en-GB"/>
        </w:rPr>
        <w:t xml:space="preserve"> to the pace of change and the capacity of schools (and others</w:t>
      </w:r>
      <w:r w:rsidR="00F37B1D">
        <w:rPr>
          <w:rFonts w:ascii="Calibri" w:eastAsia="Times New Roman" w:hAnsi="Calibri" w:cs="Times New Roman"/>
          <w:bCs/>
          <w:lang w:eastAsia="en-GB"/>
        </w:rPr>
        <w:t xml:space="preserve">) </w:t>
      </w:r>
      <w:r w:rsidRPr="00E46D78">
        <w:rPr>
          <w:rFonts w:ascii="Calibri" w:eastAsia="Times New Roman" w:hAnsi="Calibri" w:cs="Times New Roman"/>
          <w:bCs/>
          <w:lang w:eastAsia="en-GB"/>
        </w:rPr>
        <w:t>to prepare adequately for them. Not only do new curricula call for new resources (which may be unavailable in the time available, or prove to be unaffordable</w:t>
      </w:r>
      <w:r w:rsidR="00F37B1D">
        <w:rPr>
          <w:rFonts w:ascii="Calibri" w:eastAsia="Times New Roman" w:hAnsi="Calibri" w:cs="Times New Roman"/>
          <w:bCs/>
          <w:lang w:eastAsia="en-GB"/>
        </w:rPr>
        <w:t xml:space="preserve">) </w:t>
      </w:r>
      <w:r w:rsidRPr="00E46D78">
        <w:rPr>
          <w:rFonts w:ascii="Calibri" w:eastAsia="Times New Roman" w:hAnsi="Calibri" w:cs="Times New Roman"/>
          <w:bCs/>
          <w:lang w:eastAsia="en-GB"/>
        </w:rPr>
        <w:t xml:space="preserve">but they may also call for appropriate continuing professional development (CPD), which many teachers report that they </w:t>
      </w:r>
      <w:r w:rsidR="00F37B1D">
        <w:rPr>
          <w:rFonts w:ascii="Calibri" w:eastAsia="Times New Roman" w:hAnsi="Calibri" w:cs="Times New Roman"/>
          <w:bCs/>
          <w:lang w:eastAsia="en-GB"/>
        </w:rPr>
        <w:t>cannot access.</w:t>
      </w:r>
    </w:p>
    <w:p w:rsidR="0049055A" w:rsidRPr="00F37B1D" w:rsidRDefault="00E46D78" w:rsidP="00A312CD">
      <w:pPr>
        <w:jc w:val="both"/>
        <w:rPr>
          <w:rFonts w:ascii="Calibri" w:eastAsia="Times New Roman" w:hAnsi="Calibri" w:cs="Times New Roman"/>
          <w:bCs/>
          <w:lang w:eastAsia="en-GB"/>
        </w:rPr>
      </w:pPr>
      <w:r>
        <w:rPr>
          <w:b/>
          <w:bCs/>
          <w:sz w:val="32"/>
          <w:szCs w:val="32"/>
        </w:rPr>
        <w:lastRenderedPageBreak/>
        <w:t xml:space="preserve">2. </w:t>
      </w:r>
      <w:r w:rsidR="0049055A" w:rsidRPr="00601D07">
        <w:rPr>
          <w:b/>
          <w:bCs/>
          <w:sz w:val="32"/>
          <w:szCs w:val="32"/>
        </w:rPr>
        <w:t>Nature of the survey</w:t>
      </w:r>
    </w:p>
    <w:p w:rsidR="0049055A" w:rsidRPr="00601D07" w:rsidRDefault="0049055A" w:rsidP="00A312CD">
      <w:pPr>
        <w:jc w:val="both"/>
      </w:pPr>
      <w:r w:rsidRPr="00601D07">
        <w:t xml:space="preserve">The findings reported here are based on the response of history teachers in England to an online survey sent by the Historical Association to all schools and colleges teaching students in the 11–18 age range. </w:t>
      </w:r>
      <w:r w:rsidR="00601D07">
        <w:t xml:space="preserve"> The survey was sent out during the second half of the spring term 2013. </w:t>
      </w:r>
    </w:p>
    <w:p w:rsidR="0049055A" w:rsidRPr="00601D07" w:rsidRDefault="0025036F" w:rsidP="00A312CD">
      <w:pPr>
        <w:jc w:val="both"/>
      </w:pPr>
      <w:r w:rsidRPr="00601D07">
        <w:t>Responses were received from 557 history teachers</w:t>
      </w:r>
      <w:r w:rsidR="0049055A" w:rsidRPr="00601D07">
        <w:t xml:space="preserve"> </w:t>
      </w:r>
      <w:r w:rsidRPr="00601D07">
        <w:t xml:space="preserve">working in different contexts </w:t>
      </w:r>
      <w:r w:rsidR="0049055A" w:rsidRPr="00601D07">
        <w:t xml:space="preserve">including middle schools and sixth-form colleges. </w:t>
      </w:r>
      <w:r w:rsidRPr="00601D07">
        <w:t xml:space="preserve">While some responses – such as teachers’ concerns – were analysed at an individual level, multiple responses from teachers within the same school were eliminated to ensure that each school was counted only once in response to questions about the nature of provision for history at different key stages. These school-level responses were </w:t>
      </w:r>
      <w:r w:rsidR="0049055A" w:rsidRPr="00601D07">
        <w:t xml:space="preserve">analysed in relation </w:t>
      </w:r>
      <w:r w:rsidR="00221AEA">
        <w:t xml:space="preserve">to </w:t>
      </w:r>
      <w:r w:rsidR="0049055A" w:rsidRPr="00601D07">
        <w:t>different</w:t>
      </w:r>
      <w:r w:rsidRPr="00601D07">
        <w:t xml:space="preserve"> types of schools</w:t>
      </w:r>
      <w:r w:rsidR="0049055A" w:rsidRPr="00601D07">
        <w:t xml:space="preserve">: state-maintained comprehensives, state-maintained grammar schools, independent schools, old-style academies (established under previous Labour governments in areas of socio-economic disadvantage) and new academies (established under the terms of the Academies Act of 2010 which allows high-performing schools to convert to academy status, as well as for sponsors to take over schools that are judged to be failing).  While all types of academy have similar independence from local authority control and are equally free to ignore the requirements of the National Curriculum, the different circumstances in which </w:t>
      </w:r>
      <w:r w:rsidR="00221AEA">
        <w:t xml:space="preserve">they </w:t>
      </w:r>
      <w:r w:rsidR="0049055A" w:rsidRPr="00601D07">
        <w:t xml:space="preserve">have been established means that they tend to serve very different kinds of catchment areas. </w:t>
      </w:r>
    </w:p>
    <w:p w:rsidR="0049055A" w:rsidRPr="00601D07" w:rsidRDefault="00C414E6" w:rsidP="00A312CD">
      <w:pPr>
        <w:jc w:val="both"/>
      </w:pPr>
      <w:r w:rsidRPr="00601D07">
        <w:t>Detailed r</w:t>
      </w:r>
      <w:r w:rsidR="0049055A" w:rsidRPr="00601D07">
        <w:t>esponses to</w:t>
      </w:r>
      <w:r w:rsidR="0025036F" w:rsidRPr="00601D07">
        <w:t xml:space="preserve"> </w:t>
      </w:r>
      <w:r w:rsidR="0049055A" w:rsidRPr="00601D07">
        <w:t xml:space="preserve">questions about teaching </w:t>
      </w:r>
      <w:r w:rsidR="0025036F" w:rsidRPr="00601D07">
        <w:t xml:space="preserve">history at Key Stage </w:t>
      </w:r>
      <w:r w:rsidR="0049055A" w:rsidRPr="00601D07">
        <w:t xml:space="preserve">(traditionally </w:t>
      </w:r>
      <w:r w:rsidR="0025036F" w:rsidRPr="00601D07">
        <w:t>the first three years of secondary school for students aged 11-14</w:t>
      </w:r>
      <w:r w:rsidR="00077767" w:rsidRPr="00601D07">
        <w:t xml:space="preserve">, </w:t>
      </w:r>
      <w:r w:rsidR="0025036F" w:rsidRPr="00601D07">
        <w:t xml:space="preserve">but now reduced in some schools to the first two years of secondary provision for students aged 11-13) </w:t>
      </w:r>
      <w:r w:rsidR="0049055A" w:rsidRPr="00601D07">
        <w:t xml:space="preserve">were received </w:t>
      </w:r>
      <w:r w:rsidRPr="00601D07">
        <w:t>from 448</w:t>
      </w:r>
      <w:r w:rsidR="0049055A" w:rsidRPr="00601D07">
        <w:t xml:space="preserve"> schools. </w:t>
      </w:r>
      <w:r w:rsidR="0025036F" w:rsidRPr="00601D07">
        <w:t>These 4</w:t>
      </w:r>
      <w:r w:rsidRPr="00601D07">
        <w:t>48</w:t>
      </w:r>
      <w:r w:rsidR="0049055A" w:rsidRPr="00601D07">
        <w:t xml:space="preserve"> schools included </w:t>
      </w:r>
      <w:r w:rsidRPr="00601D07">
        <w:t>205</w:t>
      </w:r>
      <w:r w:rsidR="0049055A" w:rsidRPr="00601D07">
        <w:t xml:space="preserve"> state-maintained comprehensive schools, </w:t>
      </w:r>
      <w:r w:rsidRPr="00601D07">
        <w:t>8</w:t>
      </w:r>
      <w:r w:rsidR="0049055A" w:rsidRPr="00601D07">
        <w:t xml:space="preserve"> state-maintained grammar schools, </w:t>
      </w:r>
      <w:r w:rsidRPr="00601D07">
        <w:t>41</w:t>
      </w:r>
      <w:r w:rsidR="0049055A" w:rsidRPr="00601D07">
        <w:t xml:space="preserve"> independent sch</w:t>
      </w:r>
      <w:r w:rsidRPr="00601D07">
        <w:t>ools, 19</w:t>
      </w:r>
      <w:r w:rsidR="0049055A" w:rsidRPr="00601D07">
        <w:t xml:space="preserve"> old-style academies</w:t>
      </w:r>
      <w:r w:rsidRPr="00601D07">
        <w:t xml:space="preserve"> and 185</w:t>
      </w:r>
      <w:r w:rsidR="0049055A" w:rsidRPr="00601D07">
        <w:t xml:space="preserve"> new academies.  This means that </w:t>
      </w:r>
      <w:r w:rsidR="00601D07" w:rsidRPr="00601D07">
        <w:t xml:space="preserve">detailed </w:t>
      </w:r>
      <w:r w:rsidR="0049055A" w:rsidRPr="00601D07">
        <w:rPr>
          <w:rFonts w:cs="Tahoma"/>
          <w:iCs/>
        </w:rPr>
        <w:t xml:space="preserve">responses in relation to Key Stage 3 were received from approximately </w:t>
      </w:r>
      <w:r w:rsidRPr="00601D07">
        <w:rPr>
          <w:rFonts w:cs="Tahoma"/>
          <w:iCs/>
        </w:rPr>
        <w:t>5% of grammar schools, 10</w:t>
      </w:r>
      <w:r w:rsidR="0049055A" w:rsidRPr="00601D07">
        <w:rPr>
          <w:rFonts w:cs="Tahoma"/>
          <w:iCs/>
        </w:rPr>
        <w:t xml:space="preserve">% of </w:t>
      </w:r>
      <w:r w:rsidRPr="00601D07">
        <w:rPr>
          <w:rFonts w:cs="Tahoma"/>
          <w:iCs/>
        </w:rPr>
        <w:t>the old-style academies and 9</w:t>
      </w:r>
      <w:r w:rsidR="0049055A" w:rsidRPr="00601D07">
        <w:rPr>
          <w:rFonts w:cs="Tahoma"/>
          <w:iCs/>
        </w:rPr>
        <w:t xml:space="preserve">% of independent schools. </w:t>
      </w:r>
      <w:r w:rsidR="0049055A" w:rsidRPr="00601D07">
        <w:t>The number of schools switching rapidly from comprehensive to academy status makes it difficult to calculate exactly what proportion of these types of school responded to the survey, but the figure for their combined respo</w:t>
      </w:r>
      <w:r w:rsidR="00077767" w:rsidRPr="00601D07">
        <w:t>nses represents approximately 14</w:t>
      </w:r>
      <w:r w:rsidR="0049055A" w:rsidRPr="00601D07">
        <w:t xml:space="preserve">% of the combined total of comprehensives and new academies.  Responses to questions about provision at Key Stage 4 (conventionally ages 14-16) were received from </w:t>
      </w:r>
      <w:r w:rsidR="00077767" w:rsidRPr="00601D07">
        <w:t>494</w:t>
      </w:r>
      <w:r w:rsidR="0049055A" w:rsidRPr="00601D07">
        <w:t xml:space="preserve"> schools; while </w:t>
      </w:r>
      <w:r w:rsidR="00077767" w:rsidRPr="00601D07">
        <w:t>280</w:t>
      </w:r>
      <w:r w:rsidR="0049055A" w:rsidRPr="00601D07">
        <w:t xml:space="preserve"> schools and sixth-form colleges reported on their AS and A level history provision. </w:t>
      </w:r>
    </w:p>
    <w:p w:rsidR="00963796" w:rsidRPr="00601D07" w:rsidRDefault="00E46D78" w:rsidP="00963796">
      <w:pPr>
        <w:rPr>
          <w:b/>
          <w:sz w:val="24"/>
          <w:szCs w:val="24"/>
        </w:rPr>
      </w:pPr>
      <w:r>
        <w:rPr>
          <w:b/>
          <w:sz w:val="36"/>
          <w:szCs w:val="36"/>
        </w:rPr>
        <w:t xml:space="preserve">3. </w:t>
      </w:r>
      <w:r w:rsidR="00963796" w:rsidRPr="00601D07">
        <w:rPr>
          <w:b/>
          <w:sz w:val="36"/>
          <w:szCs w:val="36"/>
        </w:rPr>
        <w:t xml:space="preserve">Key Stage 3 </w:t>
      </w:r>
    </w:p>
    <w:p w:rsidR="00963796" w:rsidRPr="00601D07" w:rsidRDefault="00E46D78" w:rsidP="00963796">
      <w:pPr>
        <w:rPr>
          <w:b/>
          <w:sz w:val="24"/>
          <w:szCs w:val="24"/>
        </w:rPr>
      </w:pPr>
      <w:r>
        <w:rPr>
          <w:b/>
          <w:sz w:val="24"/>
          <w:szCs w:val="24"/>
        </w:rPr>
        <w:t xml:space="preserve">3.1 </w:t>
      </w:r>
      <w:r w:rsidR="00F23AE3" w:rsidRPr="00601D07">
        <w:rPr>
          <w:b/>
          <w:sz w:val="24"/>
          <w:szCs w:val="24"/>
        </w:rPr>
        <w:t xml:space="preserve">The length of the Key Stage 3 curriculum </w:t>
      </w:r>
    </w:p>
    <w:p w:rsidR="00CE4DB9" w:rsidRPr="00601D07" w:rsidRDefault="00CE4DB9" w:rsidP="004803B8">
      <w:pPr>
        <w:jc w:val="both"/>
      </w:pPr>
      <w:r w:rsidRPr="00601D07">
        <w:t>While most schools offer a three-year Key Stage 3 curriculum for students (which spans Years 7, 8 and 9), there is considerable variation</w:t>
      </w:r>
      <w:r w:rsidR="00F23AE3" w:rsidRPr="00601D07">
        <w:t xml:space="preserve"> between schools, and over 18% of </w:t>
      </w:r>
      <w:r w:rsidRPr="00601D07">
        <w:t xml:space="preserve">respondents report that their school offers a two-year Key Stage 3 programme.  Table 1 </w:t>
      </w:r>
      <w:r w:rsidR="00077DC3" w:rsidRPr="00601D07">
        <w:t xml:space="preserve">sets out the length of the Key Stage 3 programme being taught </w:t>
      </w:r>
      <w:r w:rsidR="0025036F" w:rsidRPr="00601D07">
        <w:t xml:space="preserve">by respondents </w:t>
      </w:r>
      <w:r w:rsidR="00077DC3" w:rsidRPr="00601D07">
        <w:t xml:space="preserve">in </w:t>
      </w:r>
      <w:r w:rsidRPr="00601D07">
        <w:t>different kinds of schools, revealing that this condensed model is most common among the old style academies, originally set up in areas of socio-e</w:t>
      </w:r>
      <w:r w:rsidR="00F23AE3" w:rsidRPr="00601D07">
        <w:t>conomic disadvantage</w:t>
      </w:r>
      <w:r w:rsidR="000A2429">
        <w:t>.</w:t>
      </w:r>
      <w:r w:rsidRPr="00601D07">
        <w:t xml:space="preserve"> </w:t>
      </w:r>
    </w:p>
    <w:p w:rsidR="0095490A" w:rsidRDefault="0095490A" w:rsidP="004803B8">
      <w:pPr>
        <w:jc w:val="both"/>
        <w:rPr>
          <w:i/>
        </w:rPr>
      </w:pPr>
      <w:r>
        <w:rPr>
          <w:i/>
        </w:rPr>
        <w:br w:type="page"/>
      </w:r>
    </w:p>
    <w:p w:rsidR="00077DC3" w:rsidRPr="00601D07" w:rsidRDefault="0094118D" w:rsidP="00963796">
      <w:pPr>
        <w:rPr>
          <w:i/>
        </w:rPr>
      </w:pPr>
      <w:r w:rsidRPr="00601D07">
        <w:rPr>
          <w:i/>
        </w:rPr>
        <w:lastRenderedPageBreak/>
        <w:t xml:space="preserve">Table 1: </w:t>
      </w:r>
      <w:r w:rsidR="00077DC3" w:rsidRPr="00601D07">
        <w:rPr>
          <w:i/>
        </w:rPr>
        <w:t>The length of the Key Stage 3 programme in respondents’ schools</w:t>
      </w:r>
    </w:p>
    <w:tbl>
      <w:tblPr>
        <w:tblW w:w="83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960"/>
        <w:gridCol w:w="960"/>
        <w:gridCol w:w="960"/>
        <w:gridCol w:w="960"/>
        <w:gridCol w:w="960"/>
        <w:gridCol w:w="960"/>
        <w:gridCol w:w="960"/>
      </w:tblGrid>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rFonts w:ascii="Microsoft Sans Serif" w:eastAsia="Times New Roman" w:hAnsi="Microsoft Sans Serif" w:cs="Microsoft Sans Serif"/>
                <w:b/>
                <w:bCs/>
                <w:sz w:val="20"/>
                <w:szCs w:val="20"/>
                <w:lang w:eastAsia="en-GB"/>
              </w:rPr>
            </w:pPr>
          </w:p>
        </w:tc>
        <w:tc>
          <w:tcPr>
            <w:tcW w:w="1920" w:type="dxa"/>
            <w:gridSpan w:val="2"/>
            <w:shd w:val="clear" w:color="auto" w:fill="auto"/>
            <w:noWrap/>
            <w:vAlign w:val="bottom"/>
            <w:hideMark/>
          </w:tcPr>
          <w:p w:rsidR="00963796" w:rsidRPr="00601D07" w:rsidRDefault="00963796" w:rsidP="006E7081">
            <w:pPr>
              <w:spacing w:after="0" w:line="240" w:lineRule="auto"/>
              <w:rPr>
                <w:b/>
              </w:rPr>
            </w:pPr>
            <w:r w:rsidRPr="00601D07">
              <w:rPr>
                <w:b/>
              </w:rPr>
              <w:t>3-year Key Stage 3</w:t>
            </w:r>
          </w:p>
          <w:p w:rsidR="00077DC3" w:rsidRPr="00601D07" w:rsidRDefault="00077DC3" w:rsidP="006E7081">
            <w:pPr>
              <w:spacing w:after="0" w:line="240" w:lineRule="auto"/>
              <w:rPr>
                <w:b/>
              </w:rPr>
            </w:pPr>
          </w:p>
        </w:tc>
        <w:tc>
          <w:tcPr>
            <w:tcW w:w="1920" w:type="dxa"/>
            <w:gridSpan w:val="2"/>
            <w:shd w:val="clear" w:color="auto" w:fill="auto"/>
            <w:noWrap/>
            <w:vAlign w:val="bottom"/>
            <w:hideMark/>
          </w:tcPr>
          <w:p w:rsidR="00963796" w:rsidRPr="00601D07" w:rsidRDefault="00963796" w:rsidP="006E7081">
            <w:pPr>
              <w:spacing w:after="0" w:line="240" w:lineRule="auto"/>
              <w:rPr>
                <w:b/>
              </w:rPr>
            </w:pPr>
            <w:r w:rsidRPr="00601D07">
              <w:rPr>
                <w:b/>
              </w:rPr>
              <w:t>2-year Key Stage 3</w:t>
            </w:r>
          </w:p>
          <w:p w:rsidR="00077DC3" w:rsidRPr="00601D07" w:rsidRDefault="00077DC3" w:rsidP="006E7081">
            <w:pPr>
              <w:spacing w:after="0" w:line="240" w:lineRule="auto"/>
              <w:rPr>
                <w:b/>
              </w:rPr>
            </w:pPr>
          </w:p>
        </w:tc>
        <w:tc>
          <w:tcPr>
            <w:tcW w:w="1920" w:type="dxa"/>
            <w:gridSpan w:val="2"/>
            <w:shd w:val="clear" w:color="auto" w:fill="auto"/>
            <w:noWrap/>
            <w:vAlign w:val="bottom"/>
            <w:hideMark/>
          </w:tcPr>
          <w:p w:rsidR="00963796" w:rsidRPr="00601D07" w:rsidRDefault="00963796" w:rsidP="006E7081">
            <w:pPr>
              <w:spacing w:after="0" w:line="240" w:lineRule="auto"/>
              <w:rPr>
                <w:b/>
              </w:rPr>
            </w:pPr>
            <w:r w:rsidRPr="00601D07">
              <w:rPr>
                <w:b/>
              </w:rPr>
              <w:t>No Key Stage 3</w:t>
            </w:r>
            <w:r w:rsidR="00077DC3" w:rsidRPr="00601D07">
              <w:rPr>
                <w:b/>
              </w:rPr>
              <w:br/>
            </w:r>
            <w:r w:rsidR="00CE4DB9" w:rsidRPr="00601D07">
              <w:rPr>
                <w:b/>
              </w:rPr>
              <w:t>(U</w:t>
            </w:r>
            <w:r w:rsidR="00077DC3" w:rsidRPr="00601D07">
              <w:rPr>
                <w:b/>
              </w:rPr>
              <w:t>pper schools)</w:t>
            </w:r>
          </w:p>
        </w:tc>
        <w:tc>
          <w:tcPr>
            <w:tcW w:w="960" w:type="dxa"/>
            <w:shd w:val="clear" w:color="auto" w:fill="auto"/>
            <w:noWrap/>
            <w:vAlign w:val="bottom"/>
            <w:hideMark/>
          </w:tcPr>
          <w:p w:rsidR="00963796" w:rsidRPr="00601D07" w:rsidRDefault="00963796" w:rsidP="006E7081">
            <w:pPr>
              <w:spacing w:after="0" w:line="240" w:lineRule="auto"/>
              <w:rPr>
                <w:b/>
              </w:rPr>
            </w:pPr>
            <w:r w:rsidRPr="00601D07">
              <w:rPr>
                <w:b/>
              </w:rPr>
              <w:t>Total</w:t>
            </w:r>
          </w:p>
        </w:tc>
      </w:tr>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c>
          <w:tcPr>
            <w:tcW w:w="960"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c>
          <w:tcPr>
            <w:tcW w:w="960"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c>
          <w:tcPr>
            <w:tcW w:w="960"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c>
          <w:tcPr>
            <w:tcW w:w="960"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c>
          <w:tcPr>
            <w:tcW w:w="960"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c>
          <w:tcPr>
            <w:tcW w:w="960"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c>
          <w:tcPr>
            <w:tcW w:w="960" w:type="dxa"/>
            <w:shd w:val="clear" w:color="auto" w:fill="auto"/>
            <w:noWrap/>
            <w:vAlign w:val="bottom"/>
            <w:hideMark/>
          </w:tcPr>
          <w:p w:rsidR="00963796" w:rsidRPr="00601D07" w:rsidRDefault="00963796" w:rsidP="006E7081">
            <w:pPr>
              <w:spacing w:after="0" w:line="240" w:lineRule="auto"/>
              <w:rPr>
                <w:rFonts w:ascii="Calibri" w:eastAsia="Times New Roman" w:hAnsi="Calibri" w:cs="Times New Roman"/>
                <w:lang w:eastAsia="en-GB"/>
              </w:rPr>
            </w:pPr>
          </w:p>
        </w:tc>
      </w:tr>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b/>
              </w:rPr>
            </w:pPr>
            <w:r w:rsidRPr="00601D07">
              <w:rPr>
                <w:b/>
              </w:rPr>
              <w:t>Comprehensive</w:t>
            </w:r>
          </w:p>
        </w:tc>
        <w:tc>
          <w:tcPr>
            <w:tcW w:w="960" w:type="dxa"/>
            <w:shd w:val="clear" w:color="auto" w:fill="auto"/>
            <w:noWrap/>
            <w:vAlign w:val="bottom"/>
            <w:hideMark/>
          </w:tcPr>
          <w:p w:rsidR="00963796" w:rsidRPr="00601D07" w:rsidRDefault="00963796" w:rsidP="00F8060B">
            <w:pPr>
              <w:spacing w:after="0" w:line="240" w:lineRule="auto"/>
            </w:pPr>
            <w:r w:rsidRPr="00601D07">
              <w:t>178</w:t>
            </w:r>
          </w:p>
        </w:tc>
        <w:tc>
          <w:tcPr>
            <w:tcW w:w="960" w:type="dxa"/>
            <w:shd w:val="clear" w:color="auto" w:fill="auto"/>
            <w:noWrap/>
            <w:vAlign w:val="bottom"/>
            <w:hideMark/>
          </w:tcPr>
          <w:p w:rsidR="00963796" w:rsidRPr="00601D07" w:rsidRDefault="00963796" w:rsidP="00F8060B">
            <w:pPr>
              <w:spacing w:after="0" w:line="240" w:lineRule="auto"/>
            </w:pPr>
            <w:r w:rsidRPr="00601D07">
              <w:t>82.0%</w:t>
            </w:r>
          </w:p>
        </w:tc>
        <w:tc>
          <w:tcPr>
            <w:tcW w:w="960" w:type="dxa"/>
            <w:shd w:val="clear" w:color="auto" w:fill="auto"/>
            <w:noWrap/>
            <w:vAlign w:val="bottom"/>
            <w:hideMark/>
          </w:tcPr>
          <w:p w:rsidR="00963796" w:rsidRPr="00601D07" w:rsidRDefault="00963796" w:rsidP="00F8060B">
            <w:pPr>
              <w:spacing w:after="0" w:line="240" w:lineRule="auto"/>
            </w:pPr>
            <w:r w:rsidRPr="00601D07">
              <w:t>34</w:t>
            </w:r>
          </w:p>
        </w:tc>
        <w:tc>
          <w:tcPr>
            <w:tcW w:w="960" w:type="dxa"/>
            <w:shd w:val="clear" w:color="auto" w:fill="auto"/>
            <w:noWrap/>
            <w:vAlign w:val="bottom"/>
            <w:hideMark/>
          </w:tcPr>
          <w:p w:rsidR="00963796" w:rsidRPr="00601D07" w:rsidRDefault="00963796" w:rsidP="00F8060B">
            <w:pPr>
              <w:spacing w:after="0" w:line="240" w:lineRule="auto"/>
            </w:pPr>
            <w:r w:rsidRPr="00601D07">
              <w:t>15.7%</w:t>
            </w:r>
          </w:p>
        </w:tc>
        <w:tc>
          <w:tcPr>
            <w:tcW w:w="960" w:type="dxa"/>
            <w:shd w:val="clear" w:color="auto" w:fill="auto"/>
            <w:noWrap/>
            <w:vAlign w:val="bottom"/>
            <w:hideMark/>
          </w:tcPr>
          <w:p w:rsidR="00963796" w:rsidRPr="00601D07" w:rsidRDefault="00963796" w:rsidP="00F8060B">
            <w:pPr>
              <w:spacing w:after="0" w:line="240" w:lineRule="auto"/>
            </w:pPr>
            <w:r w:rsidRPr="00601D07">
              <w:t>5</w:t>
            </w:r>
          </w:p>
        </w:tc>
        <w:tc>
          <w:tcPr>
            <w:tcW w:w="960" w:type="dxa"/>
            <w:shd w:val="clear" w:color="auto" w:fill="auto"/>
            <w:noWrap/>
            <w:vAlign w:val="bottom"/>
            <w:hideMark/>
          </w:tcPr>
          <w:p w:rsidR="00963796" w:rsidRPr="00601D07" w:rsidRDefault="00963796" w:rsidP="00F8060B">
            <w:pPr>
              <w:spacing w:after="0" w:line="240" w:lineRule="auto"/>
            </w:pPr>
            <w:r w:rsidRPr="00601D07">
              <w:t>2.3%</w:t>
            </w:r>
          </w:p>
        </w:tc>
        <w:tc>
          <w:tcPr>
            <w:tcW w:w="960" w:type="dxa"/>
            <w:shd w:val="clear" w:color="auto" w:fill="auto"/>
            <w:noWrap/>
            <w:vAlign w:val="bottom"/>
            <w:hideMark/>
          </w:tcPr>
          <w:p w:rsidR="00963796" w:rsidRPr="00601D07" w:rsidRDefault="00963796" w:rsidP="00F8060B">
            <w:pPr>
              <w:spacing w:after="0" w:line="240" w:lineRule="auto"/>
            </w:pPr>
            <w:r w:rsidRPr="00601D07">
              <w:t>217</w:t>
            </w:r>
          </w:p>
        </w:tc>
      </w:tr>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b/>
              </w:rPr>
            </w:pPr>
            <w:r w:rsidRPr="00601D07">
              <w:rPr>
                <w:b/>
              </w:rPr>
              <w:t>Grammar</w:t>
            </w:r>
          </w:p>
        </w:tc>
        <w:tc>
          <w:tcPr>
            <w:tcW w:w="960" w:type="dxa"/>
            <w:shd w:val="clear" w:color="auto" w:fill="auto"/>
            <w:noWrap/>
            <w:vAlign w:val="bottom"/>
            <w:hideMark/>
          </w:tcPr>
          <w:p w:rsidR="00963796" w:rsidRPr="00601D07" w:rsidRDefault="00963796" w:rsidP="00F8060B">
            <w:pPr>
              <w:spacing w:after="0" w:line="240" w:lineRule="auto"/>
            </w:pPr>
            <w:r w:rsidRPr="00601D07">
              <w:t>6</w:t>
            </w:r>
          </w:p>
        </w:tc>
        <w:tc>
          <w:tcPr>
            <w:tcW w:w="960" w:type="dxa"/>
            <w:shd w:val="clear" w:color="auto" w:fill="auto"/>
            <w:noWrap/>
            <w:vAlign w:val="bottom"/>
            <w:hideMark/>
          </w:tcPr>
          <w:p w:rsidR="00963796" w:rsidRPr="00601D07" w:rsidRDefault="00963796" w:rsidP="00F8060B">
            <w:pPr>
              <w:spacing w:after="0" w:line="240" w:lineRule="auto"/>
            </w:pPr>
            <w:r w:rsidRPr="00601D07">
              <w:t>75.0%</w:t>
            </w:r>
          </w:p>
        </w:tc>
        <w:tc>
          <w:tcPr>
            <w:tcW w:w="960" w:type="dxa"/>
            <w:shd w:val="clear" w:color="auto" w:fill="auto"/>
            <w:noWrap/>
            <w:vAlign w:val="bottom"/>
            <w:hideMark/>
          </w:tcPr>
          <w:p w:rsidR="00963796" w:rsidRPr="00601D07" w:rsidRDefault="00963796" w:rsidP="00F8060B">
            <w:pPr>
              <w:spacing w:after="0" w:line="240" w:lineRule="auto"/>
            </w:pPr>
            <w:r w:rsidRPr="00601D07">
              <w:t>2</w:t>
            </w:r>
          </w:p>
        </w:tc>
        <w:tc>
          <w:tcPr>
            <w:tcW w:w="960" w:type="dxa"/>
            <w:shd w:val="clear" w:color="auto" w:fill="auto"/>
            <w:noWrap/>
            <w:vAlign w:val="bottom"/>
            <w:hideMark/>
          </w:tcPr>
          <w:p w:rsidR="00963796" w:rsidRPr="00601D07" w:rsidRDefault="00963796" w:rsidP="00F8060B">
            <w:pPr>
              <w:spacing w:after="0" w:line="240" w:lineRule="auto"/>
            </w:pPr>
            <w:r w:rsidRPr="00601D07">
              <w:t>25.0%</w:t>
            </w:r>
          </w:p>
        </w:tc>
        <w:tc>
          <w:tcPr>
            <w:tcW w:w="960" w:type="dxa"/>
            <w:shd w:val="clear" w:color="auto" w:fill="auto"/>
            <w:noWrap/>
            <w:vAlign w:val="bottom"/>
            <w:hideMark/>
          </w:tcPr>
          <w:p w:rsidR="00963796" w:rsidRPr="00601D07" w:rsidRDefault="00963796" w:rsidP="00F8060B">
            <w:pPr>
              <w:spacing w:after="0" w:line="240" w:lineRule="auto"/>
            </w:pPr>
            <w:r w:rsidRPr="00601D07">
              <w:t>0</w:t>
            </w:r>
          </w:p>
        </w:tc>
        <w:tc>
          <w:tcPr>
            <w:tcW w:w="960" w:type="dxa"/>
            <w:shd w:val="clear" w:color="auto" w:fill="auto"/>
            <w:noWrap/>
            <w:vAlign w:val="bottom"/>
            <w:hideMark/>
          </w:tcPr>
          <w:p w:rsidR="00963796" w:rsidRPr="00601D07" w:rsidRDefault="00963796" w:rsidP="00F8060B">
            <w:pPr>
              <w:spacing w:after="0" w:line="240" w:lineRule="auto"/>
            </w:pPr>
            <w:r w:rsidRPr="00601D07">
              <w:t>0.0%</w:t>
            </w:r>
          </w:p>
        </w:tc>
        <w:tc>
          <w:tcPr>
            <w:tcW w:w="960" w:type="dxa"/>
            <w:shd w:val="clear" w:color="auto" w:fill="auto"/>
            <w:noWrap/>
            <w:vAlign w:val="bottom"/>
            <w:hideMark/>
          </w:tcPr>
          <w:p w:rsidR="00963796" w:rsidRPr="00601D07" w:rsidRDefault="00963796" w:rsidP="00F8060B">
            <w:pPr>
              <w:spacing w:after="0" w:line="240" w:lineRule="auto"/>
            </w:pPr>
            <w:r w:rsidRPr="00601D07">
              <w:t>8</w:t>
            </w:r>
          </w:p>
        </w:tc>
      </w:tr>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b/>
              </w:rPr>
            </w:pPr>
            <w:r w:rsidRPr="00601D07">
              <w:rPr>
                <w:b/>
              </w:rPr>
              <w:t>Independents</w:t>
            </w:r>
          </w:p>
        </w:tc>
        <w:tc>
          <w:tcPr>
            <w:tcW w:w="960" w:type="dxa"/>
            <w:shd w:val="clear" w:color="auto" w:fill="auto"/>
            <w:noWrap/>
            <w:vAlign w:val="bottom"/>
            <w:hideMark/>
          </w:tcPr>
          <w:p w:rsidR="00963796" w:rsidRPr="00601D07" w:rsidRDefault="00963796" w:rsidP="00F8060B">
            <w:pPr>
              <w:spacing w:after="0" w:line="240" w:lineRule="auto"/>
            </w:pPr>
            <w:r w:rsidRPr="00601D07">
              <w:t>39</w:t>
            </w:r>
          </w:p>
        </w:tc>
        <w:tc>
          <w:tcPr>
            <w:tcW w:w="960" w:type="dxa"/>
            <w:shd w:val="clear" w:color="auto" w:fill="auto"/>
            <w:noWrap/>
            <w:vAlign w:val="bottom"/>
            <w:hideMark/>
          </w:tcPr>
          <w:p w:rsidR="00963796" w:rsidRPr="00601D07" w:rsidRDefault="00963796" w:rsidP="00F8060B">
            <w:pPr>
              <w:spacing w:after="0" w:line="240" w:lineRule="auto"/>
            </w:pPr>
            <w:r w:rsidRPr="00601D07">
              <w:t>92.9%</w:t>
            </w:r>
          </w:p>
        </w:tc>
        <w:tc>
          <w:tcPr>
            <w:tcW w:w="960" w:type="dxa"/>
            <w:shd w:val="clear" w:color="auto" w:fill="auto"/>
            <w:noWrap/>
            <w:vAlign w:val="bottom"/>
            <w:hideMark/>
          </w:tcPr>
          <w:p w:rsidR="00963796" w:rsidRPr="00601D07" w:rsidRDefault="00963796" w:rsidP="00F8060B">
            <w:pPr>
              <w:spacing w:after="0" w:line="240" w:lineRule="auto"/>
            </w:pPr>
            <w:r w:rsidRPr="00601D07">
              <w:t>2</w:t>
            </w:r>
          </w:p>
        </w:tc>
        <w:tc>
          <w:tcPr>
            <w:tcW w:w="960" w:type="dxa"/>
            <w:shd w:val="clear" w:color="auto" w:fill="auto"/>
            <w:noWrap/>
            <w:vAlign w:val="bottom"/>
            <w:hideMark/>
          </w:tcPr>
          <w:p w:rsidR="00963796" w:rsidRPr="00601D07" w:rsidRDefault="00963796" w:rsidP="00F8060B">
            <w:pPr>
              <w:spacing w:after="0" w:line="240" w:lineRule="auto"/>
            </w:pPr>
            <w:r w:rsidRPr="00601D07">
              <w:t>4.8%</w:t>
            </w:r>
          </w:p>
        </w:tc>
        <w:tc>
          <w:tcPr>
            <w:tcW w:w="960" w:type="dxa"/>
            <w:shd w:val="clear" w:color="auto" w:fill="auto"/>
            <w:noWrap/>
            <w:vAlign w:val="bottom"/>
            <w:hideMark/>
          </w:tcPr>
          <w:p w:rsidR="00963796" w:rsidRPr="00601D07" w:rsidRDefault="00963796" w:rsidP="00F8060B">
            <w:pPr>
              <w:spacing w:after="0" w:line="240" w:lineRule="auto"/>
            </w:pPr>
            <w:r w:rsidRPr="00601D07">
              <w:t>1</w:t>
            </w:r>
          </w:p>
        </w:tc>
        <w:tc>
          <w:tcPr>
            <w:tcW w:w="960" w:type="dxa"/>
            <w:shd w:val="clear" w:color="auto" w:fill="auto"/>
            <w:noWrap/>
            <w:vAlign w:val="bottom"/>
            <w:hideMark/>
          </w:tcPr>
          <w:p w:rsidR="00963796" w:rsidRPr="00601D07" w:rsidRDefault="00963796" w:rsidP="00F8060B">
            <w:pPr>
              <w:spacing w:after="0" w:line="240" w:lineRule="auto"/>
            </w:pPr>
            <w:r w:rsidRPr="00601D07">
              <w:t>2.4%</w:t>
            </w:r>
          </w:p>
        </w:tc>
        <w:tc>
          <w:tcPr>
            <w:tcW w:w="960" w:type="dxa"/>
            <w:shd w:val="clear" w:color="auto" w:fill="auto"/>
            <w:noWrap/>
            <w:vAlign w:val="bottom"/>
            <w:hideMark/>
          </w:tcPr>
          <w:p w:rsidR="00963796" w:rsidRPr="00601D07" w:rsidRDefault="00963796" w:rsidP="00F8060B">
            <w:pPr>
              <w:spacing w:after="0" w:line="240" w:lineRule="auto"/>
            </w:pPr>
            <w:r w:rsidRPr="00601D07">
              <w:t>42</w:t>
            </w:r>
          </w:p>
        </w:tc>
      </w:tr>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b/>
              </w:rPr>
            </w:pPr>
            <w:r w:rsidRPr="00601D07">
              <w:rPr>
                <w:b/>
              </w:rPr>
              <w:t>Academy</w:t>
            </w:r>
            <w:r w:rsidR="004434AB" w:rsidRPr="00601D07">
              <w:rPr>
                <w:b/>
              </w:rPr>
              <w:t xml:space="preserve"> </w:t>
            </w:r>
            <w:r w:rsidR="004434AB" w:rsidRPr="00601D07">
              <w:rPr>
                <w:b/>
              </w:rPr>
              <w:br/>
              <w:t>(old style)</w:t>
            </w:r>
          </w:p>
        </w:tc>
        <w:tc>
          <w:tcPr>
            <w:tcW w:w="960" w:type="dxa"/>
            <w:shd w:val="clear" w:color="auto" w:fill="auto"/>
            <w:noWrap/>
            <w:vAlign w:val="bottom"/>
            <w:hideMark/>
          </w:tcPr>
          <w:p w:rsidR="00963796" w:rsidRPr="00601D07" w:rsidRDefault="00963796" w:rsidP="00F8060B">
            <w:pPr>
              <w:spacing w:after="0" w:line="240" w:lineRule="auto"/>
            </w:pPr>
            <w:r w:rsidRPr="00601D07">
              <w:t>9</w:t>
            </w:r>
          </w:p>
        </w:tc>
        <w:tc>
          <w:tcPr>
            <w:tcW w:w="960" w:type="dxa"/>
            <w:shd w:val="clear" w:color="auto" w:fill="auto"/>
            <w:noWrap/>
            <w:vAlign w:val="bottom"/>
            <w:hideMark/>
          </w:tcPr>
          <w:p w:rsidR="00963796" w:rsidRPr="00601D07" w:rsidRDefault="00963796" w:rsidP="00F8060B">
            <w:pPr>
              <w:spacing w:after="0" w:line="240" w:lineRule="auto"/>
            </w:pPr>
            <w:r w:rsidRPr="00601D07">
              <w:t>47.4%</w:t>
            </w:r>
          </w:p>
        </w:tc>
        <w:tc>
          <w:tcPr>
            <w:tcW w:w="960" w:type="dxa"/>
            <w:shd w:val="clear" w:color="auto" w:fill="auto"/>
            <w:noWrap/>
            <w:vAlign w:val="bottom"/>
            <w:hideMark/>
          </w:tcPr>
          <w:p w:rsidR="00963796" w:rsidRPr="00601D07" w:rsidRDefault="00963796" w:rsidP="00F8060B">
            <w:pPr>
              <w:spacing w:after="0" w:line="240" w:lineRule="auto"/>
            </w:pPr>
            <w:r w:rsidRPr="00601D07">
              <w:t>10</w:t>
            </w:r>
          </w:p>
        </w:tc>
        <w:tc>
          <w:tcPr>
            <w:tcW w:w="960" w:type="dxa"/>
            <w:shd w:val="clear" w:color="auto" w:fill="auto"/>
            <w:noWrap/>
            <w:vAlign w:val="bottom"/>
            <w:hideMark/>
          </w:tcPr>
          <w:p w:rsidR="00963796" w:rsidRPr="00601D07" w:rsidRDefault="00963796" w:rsidP="00F8060B">
            <w:pPr>
              <w:spacing w:after="0" w:line="240" w:lineRule="auto"/>
            </w:pPr>
            <w:r w:rsidRPr="00601D07">
              <w:t>52.6%</w:t>
            </w:r>
          </w:p>
        </w:tc>
        <w:tc>
          <w:tcPr>
            <w:tcW w:w="960" w:type="dxa"/>
            <w:shd w:val="clear" w:color="auto" w:fill="auto"/>
            <w:noWrap/>
            <w:vAlign w:val="bottom"/>
            <w:hideMark/>
          </w:tcPr>
          <w:p w:rsidR="00963796" w:rsidRPr="00601D07" w:rsidRDefault="00963796" w:rsidP="00F8060B">
            <w:pPr>
              <w:spacing w:after="0" w:line="240" w:lineRule="auto"/>
            </w:pPr>
            <w:r w:rsidRPr="00601D07">
              <w:t>0</w:t>
            </w:r>
          </w:p>
        </w:tc>
        <w:tc>
          <w:tcPr>
            <w:tcW w:w="960" w:type="dxa"/>
            <w:shd w:val="clear" w:color="auto" w:fill="auto"/>
            <w:noWrap/>
            <w:vAlign w:val="bottom"/>
            <w:hideMark/>
          </w:tcPr>
          <w:p w:rsidR="00963796" w:rsidRPr="00601D07" w:rsidRDefault="00963796" w:rsidP="00F8060B">
            <w:pPr>
              <w:spacing w:after="0" w:line="240" w:lineRule="auto"/>
            </w:pPr>
            <w:r w:rsidRPr="00601D07">
              <w:t>0.0%</w:t>
            </w:r>
          </w:p>
        </w:tc>
        <w:tc>
          <w:tcPr>
            <w:tcW w:w="960" w:type="dxa"/>
            <w:shd w:val="clear" w:color="auto" w:fill="auto"/>
            <w:noWrap/>
            <w:vAlign w:val="bottom"/>
            <w:hideMark/>
          </w:tcPr>
          <w:p w:rsidR="00963796" w:rsidRPr="00601D07" w:rsidRDefault="00963796" w:rsidP="00F8060B">
            <w:pPr>
              <w:spacing w:after="0" w:line="240" w:lineRule="auto"/>
            </w:pPr>
            <w:r w:rsidRPr="00601D07">
              <w:t>19</w:t>
            </w:r>
          </w:p>
        </w:tc>
      </w:tr>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b/>
              </w:rPr>
            </w:pPr>
            <w:r w:rsidRPr="00601D07">
              <w:rPr>
                <w:b/>
              </w:rPr>
              <w:t>Academy</w:t>
            </w:r>
            <w:r w:rsidR="004434AB" w:rsidRPr="00601D07">
              <w:rPr>
                <w:b/>
              </w:rPr>
              <w:t xml:space="preserve"> (new)</w:t>
            </w:r>
          </w:p>
        </w:tc>
        <w:tc>
          <w:tcPr>
            <w:tcW w:w="960" w:type="dxa"/>
            <w:shd w:val="clear" w:color="auto" w:fill="auto"/>
            <w:noWrap/>
            <w:vAlign w:val="bottom"/>
            <w:hideMark/>
          </w:tcPr>
          <w:p w:rsidR="00963796" w:rsidRPr="00601D07" w:rsidRDefault="00963796" w:rsidP="00F8060B">
            <w:pPr>
              <w:spacing w:after="0" w:line="240" w:lineRule="auto"/>
            </w:pPr>
            <w:r w:rsidRPr="00601D07">
              <w:t>145</w:t>
            </w:r>
          </w:p>
        </w:tc>
        <w:tc>
          <w:tcPr>
            <w:tcW w:w="960" w:type="dxa"/>
            <w:shd w:val="clear" w:color="auto" w:fill="auto"/>
            <w:noWrap/>
            <w:vAlign w:val="bottom"/>
            <w:hideMark/>
          </w:tcPr>
          <w:p w:rsidR="00963796" w:rsidRPr="00601D07" w:rsidRDefault="00963796" w:rsidP="00F8060B">
            <w:pPr>
              <w:spacing w:after="0" w:line="240" w:lineRule="auto"/>
            </w:pPr>
            <w:r w:rsidRPr="00601D07">
              <w:t>79.7%</w:t>
            </w:r>
          </w:p>
        </w:tc>
        <w:tc>
          <w:tcPr>
            <w:tcW w:w="960" w:type="dxa"/>
            <w:shd w:val="clear" w:color="auto" w:fill="auto"/>
            <w:noWrap/>
            <w:vAlign w:val="bottom"/>
            <w:hideMark/>
          </w:tcPr>
          <w:p w:rsidR="00963796" w:rsidRPr="00601D07" w:rsidRDefault="00963796" w:rsidP="00F8060B">
            <w:pPr>
              <w:spacing w:after="0" w:line="240" w:lineRule="auto"/>
            </w:pPr>
            <w:r w:rsidRPr="00601D07">
              <w:t>37</w:t>
            </w:r>
          </w:p>
        </w:tc>
        <w:tc>
          <w:tcPr>
            <w:tcW w:w="960" w:type="dxa"/>
            <w:shd w:val="clear" w:color="auto" w:fill="auto"/>
            <w:noWrap/>
            <w:vAlign w:val="bottom"/>
            <w:hideMark/>
          </w:tcPr>
          <w:p w:rsidR="00963796" w:rsidRPr="00601D07" w:rsidRDefault="00963796" w:rsidP="00F8060B">
            <w:pPr>
              <w:spacing w:after="0" w:line="240" w:lineRule="auto"/>
            </w:pPr>
            <w:r w:rsidRPr="00601D07">
              <w:t>20.3%</w:t>
            </w:r>
          </w:p>
        </w:tc>
        <w:tc>
          <w:tcPr>
            <w:tcW w:w="960" w:type="dxa"/>
            <w:shd w:val="clear" w:color="auto" w:fill="auto"/>
            <w:noWrap/>
            <w:vAlign w:val="bottom"/>
            <w:hideMark/>
          </w:tcPr>
          <w:p w:rsidR="00963796" w:rsidRPr="00601D07" w:rsidRDefault="00963796" w:rsidP="00F8060B">
            <w:pPr>
              <w:spacing w:after="0" w:line="240" w:lineRule="auto"/>
            </w:pPr>
            <w:r w:rsidRPr="00601D07">
              <w:t>0</w:t>
            </w:r>
          </w:p>
        </w:tc>
        <w:tc>
          <w:tcPr>
            <w:tcW w:w="960" w:type="dxa"/>
            <w:shd w:val="clear" w:color="auto" w:fill="auto"/>
            <w:noWrap/>
            <w:vAlign w:val="bottom"/>
            <w:hideMark/>
          </w:tcPr>
          <w:p w:rsidR="00963796" w:rsidRPr="00601D07" w:rsidRDefault="00963796" w:rsidP="00F8060B">
            <w:pPr>
              <w:spacing w:after="0" w:line="240" w:lineRule="auto"/>
            </w:pPr>
            <w:r w:rsidRPr="00601D07">
              <w:t>0.0%</w:t>
            </w:r>
          </w:p>
        </w:tc>
        <w:tc>
          <w:tcPr>
            <w:tcW w:w="960" w:type="dxa"/>
            <w:shd w:val="clear" w:color="auto" w:fill="auto"/>
            <w:noWrap/>
            <w:vAlign w:val="bottom"/>
            <w:hideMark/>
          </w:tcPr>
          <w:p w:rsidR="00963796" w:rsidRPr="00601D07" w:rsidRDefault="00963796" w:rsidP="00F8060B">
            <w:pPr>
              <w:spacing w:after="0" w:line="240" w:lineRule="auto"/>
            </w:pPr>
            <w:r w:rsidRPr="00601D07">
              <w:t>182</w:t>
            </w:r>
          </w:p>
        </w:tc>
      </w:tr>
      <w:tr w:rsidR="00963796" w:rsidRPr="00601D07" w:rsidTr="006E7081">
        <w:trPr>
          <w:trHeight w:val="300"/>
        </w:trPr>
        <w:tc>
          <w:tcPr>
            <w:tcW w:w="1592" w:type="dxa"/>
            <w:shd w:val="clear" w:color="auto" w:fill="auto"/>
            <w:noWrap/>
            <w:vAlign w:val="bottom"/>
            <w:hideMark/>
          </w:tcPr>
          <w:p w:rsidR="00963796" w:rsidRPr="00601D07" w:rsidRDefault="00963796" w:rsidP="006E7081">
            <w:pPr>
              <w:spacing w:after="0" w:line="240" w:lineRule="auto"/>
              <w:rPr>
                <w:b/>
              </w:rPr>
            </w:pPr>
            <w:r w:rsidRPr="00601D07">
              <w:rPr>
                <w:b/>
              </w:rPr>
              <w:t>Overall</w:t>
            </w:r>
          </w:p>
        </w:tc>
        <w:tc>
          <w:tcPr>
            <w:tcW w:w="960" w:type="dxa"/>
            <w:shd w:val="clear" w:color="auto" w:fill="auto"/>
            <w:noWrap/>
            <w:vAlign w:val="bottom"/>
            <w:hideMark/>
          </w:tcPr>
          <w:p w:rsidR="00963796" w:rsidRPr="00601D07" w:rsidRDefault="00963796" w:rsidP="00F8060B">
            <w:pPr>
              <w:spacing w:after="0" w:line="240" w:lineRule="auto"/>
            </w:pPr>
            <w:r w:rsidRPr="00601D07">
              <w:t>377</w:t>
            </w:r>
          </w:p>
        </w:tc>
        <w:tc>
          <w:tcPr>
            <w:tcW w:w="960" w:type="dxa"/>
            <w:shd w:val="clear" w:color="auto" w:fill="auto"/>
            <w:noWrap/>
            <w:vAlign w:val="bottom"/>
            <w:hideMark/>
          </w:tcPr>
          <w:p w:rsidR="00963796" w:rsidRPr="00601D07" w:rsidRDefault="00963796" w:rsidP="00F8060B">
            <w:pPr>
              <w:spacing w:after="0" w:line="240" w:lineRule="auto"/>
            </w:pPr>
            <w:r w:rsidRPr="00601D07">
              <w:t>80.6%</w:t>
            </w:r>
          </w:p>
        </w:tc>
        <w:tc>
          <w:tcPr>
            <w:tcW w:w="960" w:type="dxa"/>
            <w:shd w:val="clear" w:color="auto" w:fill="auto"/>
            <w:noWrap/>
            <w:vAlign w:val="bottom"/>
            <w:hideMark/>
          </w:tcPr>
          <w:p w:rsidR="00963796" w:rsidRPr="00601D07" w:rsidRDefault="00963796" w:rsidP="00F8060B">
            <w:pPr>
              <w:spacing w:after="0" w:line="240" w:lineRule="auto"/>
            </w:pPr>
            <w:r w:rsidRPr="00601D07">
              <w:t>85</w:t>
            </w:r>
          </w:p>
        </w:tc>
        <w:tc>
          <w:tcPr>
            <w:tcW w:w="960" w:type="dxa"/>
            <w:shd w:val="clear" w:color="auto" w:fill="auto"/>
            <w:noWrap/>
            <w:vAlign w:val="bottom"/>
            <w:hideMark/>
          </w:tcPr>
          <w:p w:rsidR="00963796" w:rsidRPr="00601D07" w:rsidRDefault="00963796" w:rsidP="00F8060B">
            <w:pPr>
              <w:spacing w:after="0" w:line="240" w:lineRule="auto"/>
            </w:pPr>
            <w:r w:rsidRPr="00601D07">
              <w:t>18.2%</w:t>
            </w:r>
          </w:p>
        </w:tc>
        <w:tc>
          <w:tcPr>
            <w:tcW w:w="960" w:type="dxa"/>
            <w:shd w:val="clear" w:color="auto" w:fill="auto"/>
            <w:noWrap/>
            <w:vAlign w:val="bottom"/>
            <w:hideMark/>
          </w:tcPr>
          <w:p w:rsidR="00963796" w:rsidRPr="00601D07" w:rsidRDefault="00963796" w:rsidP="00F8060B">
            <w:pPr>
              <w:spacing w:after="0" w:line="240" w:lineRule="auto"/>
            </w:pPr>
            <w:r w:rsidRPr="00601D07">
              <w:t>6</w:t>
            </w:r>
          </w:p>
        </w:tc>
        <w:tc>
          <w:tcPr>
            <w:tcW w:w="960" w:type="dxa"/>
            <w:shd w:val="clear" w:color="auto" w:fill="auto"/>
            <w:noWrap/>
            <w:vAlign w:val="bottom"/>
            <w:hideMark/>
          </w:tcPr>
          <w:p w:rsidR="00963796" w:rsidRPr="00601D07" w:rsidRDefault="00963796" w:rsidP="00F8060B">
            <w:pPr>
              <w:spacing w:after="0" w:line="240" w:lineRule="auto"/>
            </w:pPr>
            <w:r w:rsidRPr="00601D07">
              <w:t>1.3%</w:t>
            </w:r>
          </w:p>
        </w:tc>
        <w:tc>
          <w:tcPr>
            <w:tcW w:w="960" w:type="dxa"/>
            <w:shd w:val="clear" w:color="auto" w:fill="auto"/>
            <w:noWrap/>
            <w:vAlign w:val="bottom"/>
            <w:hideMark/>
          </w:tcPr>
          <w:p w:rsidR="00963796" w:rsidRPr="00601D07" w:rsidRDefault="00963796" w:rsidP="00F8060B">
            <w:pPr>
              <w:spacing w:after="0" w:line="240" w:lineRule="auto"/>
            </w:pPr>
            <w:r w:rsidRPr="00601D07">
              <w:t>468</w:t>
            </w:r>
            <w:r w:rsidR="00FA6EB7">
              <w:rPr>
                <w:rStyle w:val="FootnoteReference"/>
              </w:rPr>
              <w:footnoteReference w:id="1"/>
            </w:r>
          </w:p>
        </w:tc>
      </w:tr>
    </w:tbl>
    <w:p w:rsidR="00F23AE3" w:rsidRPr="00601D07" w:rsidRDefault="00F23AE3" w:rsidP="00963796">
      <w:pPr>
        <w:rPr>
          <w:b/>
          <w:sz w:val="24"/>
          <w:szCs w:val="24"/>
        </w:rPr>
      </w:pPr>
      <w:r w:rsidRPr="00601D07">
        <w:br/>
      </w:r>
      <w:r w:rsidRPr="00601D07">
        <w:rPr>
          <w:b/>
        </w:rPr>
        <w:br/>
      </w:r>
      <w:r w:rsidR="00E46D78">
        <w:rPr>
          <w:b/>
          <w:sz w:val="24"/>
          <w:szCs w:val="24"/>
        </w:rPr>
        <w:t xml:space="preserve">3.2 </w:t>
      </w:r>
      <w:r w:rsidRPr="00601D07">
        <w:rPr>
          <w:b/>
          <w:sz w:val="24"/>
          <w:szCs w:val="24"/>
        </w:rPr>
        <w:t>The organisation of history within the Key Stage 3 curriculum</w:t>
      </w:r>
    </w:p>
    <w:p w:rsidR="0094118D" w:rsidRPr="00601D07" w:rsidRDefault="00963796" w:rsidP="004803B8">
      <w:pPr>
        <w:jc w:val="both"/>
      </w:pPr>
      <w:r w:rsidRPr="00601D07">
        <w:t xml:space="preserve">As a subject, history is overwhelmingly taught as a discrete subject </w:t>
      </w:r>
      <w:r w:rsidR="00221AEA">
        <w:t>within the Key Stage 3 curriculum</w:t>
      </w:r>
      <w:r w:rsidR="00C34D4F">
        <w:t xml:space="preserve">. </w:t>
      </w:r>
      <w:bookmarkStart w:id="0" w:name="_GoBack"/>
      <w:bookmarkEnd w:id="0"/>
      <w:r w:rsidR="00F23AE3" w:rsidRPr="00601D07">
        <w:t>This is true both for schools with a two and a three-year Key Stage 3 curriculum</w:t>
      </w:r>
      <w:r w:rsidR="00601D07" w:rsidRPr="00601D07">
        <w:t>.</w:t>
      </w:r>
      <w:r w:rsidR="00F23AE3" w:rsidRPr="00601D07">
        <w:t xml:space="preserve"> Table 2</w:t>
      </w:r>
      <w:r w:rsidR="00601D07" w:rsidRPr="00601D07">
        <w:t>, in which figures for both curriculum models are combined,</w:t>
      </w:r>
      <w:r w:rsidR="00F23AE3" w:rsidRPr="00601D07">
        <w:t xml:space="preserve"> </w:t>
      </w:r>
      <w:r w:rsidR="0094118D" w:rsidRPr="00601D07">
        <w:t>illustrates how the curriculum is organised for Y</w:t>
      </w:r>
      <w:r w:rsidR="00CE4DB9" w:rsidRPr="00601D07">
        <w:t xml:space="preserve">ear </w:t>
      </w:r>
      <w:r w:rsidR="0094118D" w:rsidRPr="00601D07">
        <w:t>7 students in different schools, and also provides a compar</w:t>
      </w:r>
      <w:r w:rsidR="00F23AE3" w:rsidRPr="00601D07">
        <w:t>ison with data collected in 2012 and 2011</w:t>
      </w:r>
      <w:r w:rsidR="0094118D" w:rsidRPr="00601D07">
        <w:t>.</w:t>
      </w:r>
    </w:p>
    <w:p w:rsidR="00601D07" w:rsidRPr="00601D07" w:rsidRDefault="00601D07" w:rsidP="004803B8">
      <w:pPr>
        <w:jc w:val="both"/>
      </w:pPr>
      <w:r w:rsidRPr="00601D07">
        <w:t xml:space="preserve">As can be seen, in 2013, in all grammar schools and all but one independent school,  respondents report that history is taught as a discrete subject, and generally follows a trend where history is consistently regarded as a subject to be taught in its own right. In comprehensives and newer academies around 80% of respondents report that history is taught as a discrete subject. The longer term data suggest that more comprehensive schools are moving towards a position of history as a separate subject, whereas the situation in newer academies shows more fluctuation. Obviously these figures have to be considered carefully as more comprehensives gain academy status, there may be some flux in these figures, but the overall trend is towards a strengthening of history as a discrete subject. In the older academies (established in areas of socio-economic disadvantage) fewer than 50% of respondents report that history is taught as a discrete subject (although the number of such academies responding to the survey is low). The number of schools reporting ‘alternative’ curriculum arrangements, such as Opening Minds, remains very small at just over 3%, although the apparent downward turn in this kind of provision, noted between 2011 and 2012, has not been sustained, and such alternative models are much more prevalent among academies, especially the older ones. </w:t>
      </w:r>
    </w:p>
    <w:p w:rsidR="000A2429" w:rsidRDefault="000A2429">
      <w:pPr>
        <w:rPr>
          <w:i/>
        </w:rPr>
      </w:pPr>
      <w:r>
        <w:rPr>
          <w:i/>
        </w:rPr>
        <w:br w:type="page"/>
      </w:r>
    </w:p>
    <w:p w:rsidR="0094118D" w:rsidRPr="00601D07" w:rsidRDefault="0094118D" w:rsidP="004803B8">
      <w:pPr>
        <w:spacing w:line="240" w:lineRule="auto"/>
        <w:jc w:val="both"/>
      </w:pPr>
      <w:r w:rsidRPr="00601D07">
        <w:rPr>
          <w:i/>
        </w:rPr>
        <w:lastRenderedPageBreak/>
        <w:t xml:space="preserve">Table 2: The inclusion of history within the Year </w:t>
      </w:r>
      <w:r w:rsidR="00092D7E" w:rsidRPr="00601D07">
        <w:rPr>
          <w:i/>
        </w:rPr>
        <w:t xml:space="preserve">7 </w:t>
      </w:r>
      <w:r w:rsidRPr="00601D07">
        <w:rPr>
          <w:i/>
        </w:rPr>
        <w:t xml:space="preserve">curriculum in 2013 compared with 2011 and 2012 </w:t>
      </w:r>
      <w:r w:rsidR="00F23AE3" w:rsidRPr="00601D07">
        <w:rPr>
          <w:i/>
        </w:rPr>
        <w:br/>
      </w:r>
      <w:r w:rsidR="004434AB" w:rsidRPr="00601D07">
        <w:t>Figures for 2013 are presented in the top line in each case; those for [</w:t>
      </w:r>
      <w:r w:rsidR="00F23AE3" w:rsidRPr="00601D07">
        <w:t>2012</w:t>
      </w:r>
      <w:r w:rsidR="004434AB" w:rsidRPr="00601D07">
        <w:t>]</w:t>
      </w:r>
      <w:r w:rsidR="00F23AE3" w:rsidRPr="00601D07">
        <w:t xml:space="preserve"> are presented in </w:t>
      </w:r>
      <w:r w:rsidR="004434AB" w:rsidRPr="00601D07">
        <w:t xml:space="preserve">square brackets in the second line; and </w:t>
      </w:r>
      <w:r w:rsidR="00F23AE3" w:rsidRPr="00601D07">
        <w:t xml:space="preserve">those for </w:t>
      </w:r>
      <w:r w:rsidR="004434AB" w:rsidRPr="00601D07">
        <w:t>(</w:t>
      </w:r>
      <w:r w:rsidR="00F23AE3" w:rsidRPr="00601D07">
        <w:t>2011</w:t>
      </w:r>
      <w:r w:rsidR="004434AB" w:rsidRPr="00601D07">
        <w:t>)</w:t>
      </w:r>
      <w:r w:rsidR="00F23AE3" w:rsidRPr="00601D07">
        <w:t xml:space="preserve"> in </w:t>
      </w:r>
      <w:r w:rsidR="004434AB" w:rsidRPr="00601D07">
        <w:t>standard brackets in the third line</w:t>
      </w:r>
      <w:r w:rsidRPr="00601D07">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418"/>
        <w:gridCol w:w="1559"/>
        <w:gridCol w:w="1418"/>
        <w:gridCol w:w="1417"/>
        <w:gridCol w:w="1418"/>
      </w:tblGrid>
      <w:tr w:rsidR="0094118D" w:rsidRPr="00601D07" w:rsidTr="00F23AE3">
        <w:trPr>
          <w:trHeight w:val="255"/>
        </w:trPr>
        <w:tc>
          <w:tcPr>
            <w:tcW w:w="1716" w:type="dxa"/>
            <w:shd w:val="clear" w:color="auto" w:fill="auto"/>
            <w:noWrap/>
            <w:vAlign w:val="bottom"/>
            <w:hideMark/>
          </w:tcPr>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94118D" w:rsidP="0094118D">
            <w:pPr>
              <w:spacing w:after="0" w:line="240" w:lineRule="auto"/>
              <w:rPr>
                <w:b/>
              </w:rPr>
            </w:pPr>
            <w:r w:rsidRPr="00601D07">
              <w:rPr>
                <w:b/>
              </w:rPr>
              <w:t>As a discrete subject</w:t>
            </w:r>
          </w:p>
          <w:p w:rsidR="0094118D" w:rsidRPr="00601D07" w:rsidRDefault="0094118D" w:rsidP="0094118D">
            <w:pPr>
              <w:spacing w:after="0" w:line="240" w:lineRule="auto"/>
              <w:rPr>
                <w:b/>
              </w:rPr>
            </w:pPr>
          </w:p>
        </w:tc>
        <w:tc>
          <w:tcPr>
            <w:tcW w:w="1559" w:type="dxa"/>
            <w:shd w:val="clear" w:color="auto" w:fill="auto"/>
            <w:noWrap/>
            <w:vAlign w:val="bottom"/>
            <w:hideMark/>
          </w:tcPr>
          <w:p w:rsidR="0094118D" w:rsidRPr="00601D07" w:rsidRDefault="0094118D" w:rsidP="0094118D">
            <w:pPr>
              <w:spacing w:after="0" w:line="240" w:lineRule="auto"/>
              <w:rPr>
                <w:b/>
              </w:rPr>
            </w:pPr>
            <w:r w:rsidRPr="00601D07">
              <w:rPr>
                <w:b/>
              </w:rPr>
              <w:t xml:space="preserve">As a distinct subject within humanities </w:t>
            </w:r>
          </w:p>
        </w:tc>
        <w:tc>
          <w:tcPr>
            <w:tcW w:w="1418" w:type="dxa"/>
            <w:shd w:val="clear" w:color="auto" w:fill="auto"/>
            <w:noWrap/>
            <w:vAlign w:val="bottom"/>
            <w:hideMark/>
          </w:tcPr>
          <w:p w:rsidR="0094118D" w:rsidRPr="00601D07" w:rsidRDefault="0094118D" w:rsidP="0094118D">
            <w:pPr>
              <w:spacing w:after="0" w:line="240" w:lineRule="auto"/>
              <w:rPr>
                <w:b/>
              </w:rPr>
            </w:pPr>
            <w:r w:rsidRPr="00601D07">
              <w:rPr>
                <w:b/>
              </w:rPr>
              <w:t>Within integrated humanities</w:t>
            </w:r>
          </w:p>
        </w:tc>
        <w:tc>
          <w:tcPr>
            <w:tcW w:w="1417" w:type="dxa"/>
            <w:shd w:val="clear" w:color="auto" w:fill="auto"/>
            <w:noWrap/>
            <w:vAlign w:val="bottom"/>
            <w:hideMark/>
          </w:tcPr>
          <w:p w:rsidR="0094118D" w:rsidRPr="00601D07" w:rsidRDefault="0094118D" w:rsidP="0094118D">
            <w:pPr>
              <w:spacing w:after="0" w:line="240" w:lineRule="auto"/>
              <w:rPr>
                <w:b/>
              </w:rPr>
            </w:pPr>
            <w:r w:rsidRPr="00601D07">
              <w:rPr>
                <w:b/>
              </w:rPr>
              <w:t>Other</w:t>
            </w:r>
          </w:p>
          <w:p w:rsidR="0094118D" w:rsidRPr="00601D07" w:rsidRDefault="0094118D" w:rsidP="0094118D">
            <w:pPr>
              <w:spacing w:after="0" w:line="240" w:lineRule="auto"/>
              <w:rPr>
                <w:b/>
              </w:rPr>
            </w:pPr>
          </w:p>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94118D" w:rsidP="0094118D">
            <w:pPr>
              <w:spacing w:after="0" w:line="240" w:lineRule="auto"/>
              <w:rPr>
                <w:b/>
              </w:rPr>
            </w:pPr>
            <w:r w:rsidRPr="00601D07">
              <w:rPr>
                <w:b/>
              </w:rPr>
              <w:t>Total respondents</w:t>
            </w:r>
          </w:p>
          <w:p w:rsidR="0094118D" w:rsidRPr="00601D07" w:rsidRDefault="0094118D" w:rsidP="0094118D">
            <w:pPr>
              <w:spacing w:after="0" w:line="240" w:lineRule="auto"/>
              <w:rPr>
                <w:b/>
              </w:rPr>
            </w:pPr>
          </w:p>
        </w:tc>
      </w:tr>
      <w:tr w:rsidR="0094118D" w:rsidRPr="00601D07" w:rsidTr="00F23AE3">
        <w:trPr>
          <w:trHeight w:val="255"/>
        </w:trPr>
        <w:tc>
          <w:tcPr>
            <w:tcW w:w="1716" w:type="dxa"/>
            <w:vMerge w:val="restart"/>
            <w:shd w:val="clear" w:color="auto" w:fill="auto"/>
            <w:noWrap/>
            <w:vAlign w:val="bottom"/>
            <w:hideMark/>
          </w:tcPr>
          <w:p w:rsidR="0094118D" w:rsidRPr="00601D07" w:rsidRDefault="0094118D" w:rsidP="0094118D">
            <w:pPr>
              <w:spacing w:after="0" w:line="240" w:lineRule="auto"/>
              <w:rPr>
                <w:b/>
              </w:rPr>
            </w:pPr>
            <w:r w:rsidRPr="00601D07">
              <w:rPr>
                <w:b/>
              </w:rPr>
              <w:t xml:space="preserve">All schools </w:t>
            </w:r>
          </w:p>
          <w:p w:rsidR="0094118D" w:rsidRPr="00601D07" w:rsidRDefault="0094118D" w:rsidP="0094118D">
            <w:pPr>
              <w:spacing w:after="0" w:line="240" w:lineRule="auto"/>
              <w:rPr>
                <w:b/>
              </w:rPr>
            </w:pPr>
          </w:p>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368</w:t>
            </w:r>
          </w:p>
          <w:p w:rsidR="0094118D" w:rsidRPr="00601D07" w:rsidRDefault="0094118D" w:rsidP="00F8060B">
            <w:pPr>
              <w:spacing w:after="0" w:line="240" w:lineRule="auto"/>
            </w:pPr>
            <w:r w:rsidRPr="00601D07">
              <w:t>[179]</w:t>
            </w:r>
          </w:p>
          <w:p w:rsidR="0094118D" w:rsidRPr="00601D07" w:rsidRDefault="0094118D" w:rsidP="00F8060B">
            <w:pPr>
              <w:spacing w:after="0" w:line="240" w:lineRule="auto"/>
            </w:pPr>
            <w:r w:rsidRPr="00601D07">
              <w:t>(287)</w:t>
            </w:r>
          </w:p>
        </w:tc>
        <w:tc>
          <w:tcPr>
            <w:tcW w:w="1559" w:type="dxa"/>
            <w:shd w:val="clear" w:color="auto" w:fill="auto"/>
            <w:noWrap/>
            <w:vAlign w:val="bottom"/>
            <w:hideMark/>
          </w:tcPr>
          <w:p w:rsidR="0094118D" w:rsidRPr="00601D07" w:rsidRDefault="00D641C7" w:rsidP="00F8060B">
            <w:pPr>
              <w:spacing w:after="0" w:line="240" w:lineRule="auto"/>
            </w:pPr>
            <w:r w:rsidRPr="00601D07">
              <w:t>44</w:t>
            </w:r>
          </w:p>
          <w:p w:rsidR="0094118D" w:rsidRPr="00601D07" w:rsidRDefault="0094118D" w:rsidP="00F8060B">
            <w:pPr>
              <w:spacing w:after="0" w:line="240" w:lineRule="auto"/>
            </w:pPr>
            <w:r w:rsidRPr="00601D07">
              <w:t>[26]</w:t>
            </w:r>
          </w:p>
          <w:p w:rsidR="0094118D" w:rsidRPr="00601D07" w:rsidRDefault="0094118D" w:rsidP="00F8060B">
            <w:pPr>
              <w:spacing w:after="0" w:line="240" w:lineRule="auto"/>
            </w:pPr>
            <w:r w:rsidRPr="00601D07">
              <w:t>(40)</w:t>
            </w:r>
          </w:p>
        </w:tc>
        <w:tc>
          <w:tcPr>
            <w:tcW w:w="1418" w:type="dxa"/>
            <w:shd w:val="clear" w:color="auto" w:fill="auto"/>
            <w:noWrap/>
            <w:vAlign w:val="bottom"/>
            <w:hideMark/>
          </w:tcPr>
          <w:p w:rsidR="0094118D" w:rsidRPr="00601D07" w:rsidRDefault="00D641C7" w:rsidP="00F8060B">
            <w:pPr>
              <w:spacing w:after="0" w:line="240" w:lineRule="auto"/>
            </w:pPr>
            <w:r w:rsidRPr="00601D07">
              <w:t>21</w:t>
            </w:r>
          </w:p>
          <w:p w:rsidR="0094118D" w:rsidRPr="00601D07" w:rsidRDefault="0094118D" w:rsidP="00F8060B">
            <w:pPr>
              <w:spacing w:after="0" w:line="240" w:lineRule="auto"/>
            </w:pPr>
            <w:r w:rsidRPr="00601D07">
              <w:t>[19]</w:t>
            </w:r>
          </w:p>
          <w:p w:rsidR="0094118D" w:rsidRPr="00601D07" w:rsidRDefault="0094118D" w:rsidP="00F8060B">
            <w:pPr>
              <w:spacing w:after="0" w:line="240" w:lineRule="auto"/>
            </w:pPr>
            <w:r w:rsidRPr="00601D07">
              <w:t>(28)</w:t>
            </w:r>
          </w:p>
        </w:tc>
        <w:tc>
          <w:tcPr>
            <w:tcW w:w="1417" w:type="dxa"/>
            <w:shd w:val="clear" w:color="auto" w:fill="auto"/>
            <w:noWrap/>
            <w:vAlign w:val="bottom"/>
            <w:hideMark/>
          </w:tcPr>
          <w:p w:rsidR="0094118D" w:rsidRPr="00601D07" w:rsidRDefault="00D641C7" w:rsidP="00F8060B">
            <w:pPr>
              <w:spacing w:after="0" w:line="240" w:lineRule="auto"/>
            </w:pPr>
            <w:r w:rsidRPr="00601D07">
              <w:t>15</w:t>
            </w:r>
          </w:p>
          <w:p w:rsidR="0094118D" w:rsidRPr="00601D07" w:rsidRDefault="0094118D" w:rsidP="00F8060B">
            <w:pPr>
              <w:spacing w:after="0" w:line="240" w:lineRule="auto"/>
            </w:pPr>
            <w:r w:rsidRPr="00601D07">
              <w:t>[6]</w:t>
            </w:r>
          </w:p>
          <w:p w:rsidR="0094118D" w:rsidRPr="00601D07" w:rsidRDefault="0094118D" w:rsidP="00F8060B">
            <w:pPr>
              <w:spacing w:after="0" w:line="240" w:lineRule="auto"/>
            </w:pPr>
            <w:r w:rsidRPr="00601D07">
              <w:t>(20)</w:t>
            </w:r>
          </w:p>
        </w:tc>
        <w:tc>
          <w:tcPr>
            <w:tcW w:w="1418" w:type="dxa"/>
            <w:vMerge w:val="restart"/>
            <w:shd w:val="clear" w:color="auto" w:fill="auto"/>
            <w:noWrap/>
            <w:vAlign w:val="bottom"/>
            <w:hideMark/>
          </w:tcPr>
          <w:p w:rsidR="0094118D" w:rsidRPr="00601D07" w:rsidRDefault="0094118D" w:rsidP="00F8060B">
            <w:pPr>
              <w:spacing w:after="0" w:line="240" w:lineRule="auto"/>
            </w:pPr>
          </w:p>
          <w:p w:rsidR="0094118D" w:rsidRPr="00601D07" w:rsidRDefault="00D641C7" w:rsidP="00F8060B">
            <w:pPr>
              <w:spacing w:after="0" w:line="240" w:lineRule="auto"/>
            </w:pPr>
            <w:r w:rsidRPr="00601D07">
              <w:t>448</w:t>
            </w:r>
          </w:p>
          <w:p w:rsidR="0094118D" w:rsidRPr="00601D07" w:rsidRDefault="0094118D" w:rsidP="00F8060B">
            <w:pPr>
              <w:spacing w:after="0" w:line="240" w:lineRule="auto"/>
            </w:pPr>
            <w:r w:rsidRPr="00601D07">
              <w:t>[230]</w:t>
            </w:r>
          </w:p>
          <w:p w:rsidR="0094118D" w:rsidRPr="00601D07" w:rsidRDefault="0094118D" w:rsidP="00F8060B">
            <w:pPr>
              <w:spacing w:after="0" w:line="240" w:lineRule="auto"/>
            </w:pPr>
            <w:r w:rsidRPr="00601D07">
              <w:t>(375)</w:t>
            </w:r>
          </w:p>
          <w:p w:rsidR="0094118D" w:rsidRPr="00601D07" w:rsidRDefault="0094118D" w:rsidP="00F8060B">
            <w:pPr>
              <w:spacing w:after="0" w:line="240" w:lineRule="auto"/>
            </w:pPr>
          </w:p>
        </w:tc>
      </w:tr>
      <w:tr w:rsidR="0094118D" w:rsidRPr="00601D07" w:rsidTr="00F23AE3">
        <w:trPr>
          <w:trHeight w:val="255"/>
        </w:trPr>
        <w:tc>
          <w:tcPr>
            <w:tcW w:w="1716" w:type="dxa"/>
            <w:vMerge/>
            <w:shd w:val="clear" w:color="auto" w:fill="auto"/>
            <w:noWrap/>
            <w:vAlign w:val="bottom"/>
            <w:hideMark/>
          </w:tcPr>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82.1</w:t>
            </w:r>
            <w:r w:rsidR="0094118D" w:rsidRPr="00601D07">
              <w:t>%</w:t>
            </w:r>
          </w:p>
          <w:p w:rsidR="0094118D" w:rsidRPr="00601D07" w:rsidRDefault="0094118D" w:rsidP="00F8060B">
            <w:pPr>
              <w:spacing w:after="0" w:line="240" w:lineRule="auto"/>
            </w:pPr>
            <w:r w:rsidRPr="00601D07">
              <w:t>[77.8%]</w:t>
            </w:r>
          </w:p>
          <w:p w:rsidR="0094118D" w:rsidRPr="00601D07" w:rsidRDefault="0094118D" w:rsidP="00F8060B">
            <w:pPr>
              <w:spacing w:after="0" w:line="240" w:lineRule="auto"/>
            </w:pPr>
            <w:r w:rsidRPr="00601D07">
              <w:t>(76.5%)</w:t>
            </w:r>
          </w:p>
        </w:tc>
        <w:tc>
          <w:tcPr>
            <w:tcW w:w="1559" w:type="dxa"/>
            <w:shd w:val="clear" w:color="auto" w:fill="auto"/>
            <w:noWrap/>
            <w:vAlign w:val="bottom"/>
            <w:hideMark/>
          </w:tcPr>
          <w:p w:rsidR="0094118D" w:rsidRPr="00601D07" w:rsidRDefault="00D641C7" w:rsidP="00F8060B">
            <w:pPr>
              <w:spacing w:after="0" w:line="240" w:lineRule="auto"/>
            </w:pPr>
            <w:r w:rsidRPr="00601D07">
              <w:t>9.8</w:t>
            </w:r>
            <w:r w:rsidR="0094118D" w:rsidRPr="00601D07">
              <w:t xml:space="preserve">% </w:t>
            </w:r>
          </w:p>
          <w:p w:rsidR="0094118D" w:rsidRPr="00601D07" w:rsidRDefault="0094118D" w:rsidP="00F8060B">
            <w:pPr>
              <w:spacing w:after="0" w:line="240" w:lineRule="auto"/>
            </w:pPr>
            <w:r w:rsidRPr="00601D07">
              <w:t>[11.3%]</w:t>
            </w:r>
          </w:p>
          <w:p w:rsidR="0094118D" w:rsidRPr="00601D07" w:rsidRDefault="0094118D" w:rsidP="00F8060B">
            <w:pPr>
              <w:spacing w:after="0" w:line="240" w:lineRule="auto"/>
            </w:pPr>
            <w:r w:rsidRPr="00601D07">
              <w:t>(10.7%)</w:t>
            </w:r>
          </w:p>
        </w:tc>
        <w:tc>
          <w:tcPr>
            <w:tcW w:w="1418" w:type="dxa"/>
            <w:shd w:val="clear" w:color="auto" w:fill="auto"/>
            <w:noWrap/>
            <w:vAlign w:val="bottom"/>
            <w:hideMark/>
          </w:tcPr>
          <w:p w:rsidR="0094118D" w:rsidRPr="00601D07" w:rsidRDefault="00D641C7" w:rsidP="00F8060B">
            <w:pPr>
              <w:spacing w:after="0" w:line="240" w:lineRule="auto"/>
            </w:pPr>
            <w:r w:rsidRPr="00601D07">
              <w:t>4.6</w:t>
            </w:r>
            <w:r w:rsidR="0094118D" w:rsidRPr="00601D07">
              <w:t>%</w:t>
            </w:r>
          </w:p>
          <w:p w:rsidR="0094118D" w:rsidRPr="00601D07" w:rsidRDefault="0094118D" w:rsidP="00F8060B">
            <w:pPr>
              <w:spacing w:after="0" w:line="240" w:lineRule="auto"/>
            </w:pPr>
            <w:r w:rsidRPr="00601D07">
              <w:t>[8.3%]</w:t>
            </w:r>
          </w:p>
          <w:p w:rsidR="0094118D" w:rsidRPr="00601D07" w:rsidRDefault="0094118D" w:rsidP="00F8060B">
            <w:pPr>
              <w:spacing w:after="0" w:line="240" w:lineRule="auto"/>
            </w:pPr>
            <w:r w:rsidRPr="00601D07">
              <w:t>(7.5%)</w:t>
            </w:r>
          </w:p>
        </w:tc>
        <w:tc>
          <w:tcPr>
            <w:tcW w:w="1417" w:type="dxa"/>
            <w:shd w:val="clear" w:color="auto" w:fill="auto"/>
            <w:noWrap/>
            <w:vAlign w:val="bottom"/>
            <w:hideMark/>
          </w:tcPr>
          <w:p w:rsidR="0094118D" w:rsidRPr="00601D07" w:rsidRDefault="00D641C7" w:rsidP="00F8060B">
            <w:pPr>
              <w:spacing w:after="0" w:line="240" w:lineRule="auto"/>
            </w:pPr>
            <w:r w:rsidRPr="00601D07">
              <w:t>3.3</w:t>
            </w:r>
            <w:r w:rsidR="0094118D" w:rsidRPr="00601D07">
              <w:t>%</w:t>
            </w:r>
          </w:p>
          <w:p w:rsidR="0094118D" w:rsidRPr="00601D07" w:rsidRDefault="0094118D" w:rsidP="00F8060B">
            <w:pPr>
              <w:spacing w:after="0" w:line="240" w:lineRule="auto"/>
            </w:pPr>
            <w:r w:rsidRPr="00601D07">
              <w:t>[2.6%]</w:t>
            </w:r>
          </w:p>
          <w:p w:rsidR="0094118D" w:rsidRPr="00601D07" w:rsidRDefault="0094118D" w:rsidP="00F8060B">
            <w:pPr>
              <w:spacing w:after="0" w:line="240" w:lineRule="auto"/>
            </w:pPr>
            <w:r w:rsidRPr="00601D07">
              <w:t>(5.3%)</w:t>
            </w:r>
          </w:p>
        </w:tc>
        <w:tc>
          <w:tcPr>
            <w:tcW w:w="1418" w:type="dxa"/>
            <w:vMerge/>
            <w:shd w:val="clear" w:color="auto" w:fill="auto"/>
            <w:noWrap/>
            <w:vAlign w:val="bottom"/>
            <w:hideMark/>
          </w:tcPr>
          <w:p w:rsidR="0094118D" w:rsidRPr="00601D07" w:rsidRDefault="0094118D" w:rsidP="00F8060B">
            <w:pPr>
              <w:spacing w:after="0" w:line="240" w:lineRule="auto"/>
            </w:pPr>
          </w:p>
        </w:tc>
      </w:tr>
      <w:tr w:rsidR="0094118D" w:rsidRPr="00601D07" w:rsidTr="00F23AE3">
        <w:trPr>
          <w:trHeight w:val="255"/>
        </w:trPr>
        <w:tc>
          <w:tcPr>
            <w:tcW w:w="1716" w:type="dxa"/>
            <w:vMerge w:val="restart"/>
            <w:shd w:val="clear" w:color="auto" w:fill="auto"/>
            <w:noWrap/>
            <w:vAlign w:val="bottom"/>
            <w:hideMark/>
          </w:tcPr>
          <w:p w:rsidR="0094118D" w:rsidRPr="00601D07" w:rsidRDefault="0094118D" w:rsidP="0094118D">
            <w:pPr>
              <w:spacing w:after="0" w:line="240" w:lineRule="auto"/>
              <w:rPr>
                <w:b/>
              </w:rPr>
            </w:pPr>
            <w:r w:rsidRPr="00601D07">
              <w:rPr>
                <w:b/>
              </w:rPr>
              <w:t>Comprehensive</w:t>
            </w:r>
          </w:p>
          <w:p w:rsidR="0094118D" w:rsidRPr="00601D07" w:rsidRDefault="0094118D" w:rsidP="0094118D">
            <w:pPr>
              <w:spacing w:after="0" w:line="240" w:lineRule="auto"/>
              <w:rPr>
                <w:b/>
              </w:rPr>
            </w:pPr>
          </w:p>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165</w:t>
            </w:r>
          </w:p>
          <w:p w:rsidR="0094118D" w:rsidRPr="00601D07" w:rsidRDefault="0094118D" w:rsidP="00F8060B">
            <w:pPr>
              <w:spacing w:after="0" w:line="240" w:lineRule="auto"/>
            </w:pPr>
            <w:r w:rsidRPr="00601D07">
              <w:t>[90]</w:t>
            </w:r>
          </w:p>
          <w:p w:rsidR="0094118D" w:rsidRPr="00601D07" w:rsidRDefault="0094118D" w:rsidP="00F8060B">
            <w:pPr>
              <w:spacing w:after="0" w:line="240" w:lineRule="auto"/>
            </w:pPr>
            <w:r w:rsidRPr="00601D07">
              <w:t>(181)</w:t>
            </w:r>
          </w:p>
        </w:tc>
        <w:tc>
          <w:tcPr>
            <w:tcW w:w="1559" w:type="dxa"/>
            <w:shd w:val="clear" w:color="auto" w:fill="auto"/>
            <w:noWrap/>
            <w:vAlign w:val="bottom"/>
            <w:hideMark/>
          </w:tcPr>
          <w:p w:rsidR="0094118D" w:rsidRPr="00601D07" w:rsidRDefault="00D641C7" w:rsidP="00F8060B">
            <w:pPr>
              <w:spacing w:after="0" w:line="240" w:lineRule="auto"/>
            </w:pPr>
            <w:r w:rsidRPr="00601D07">
              <w:t>21</w:t>
            </w:r>
          </w:p>
          <w:p w:rsidR="0094118D" w:rsidRPr="00601D07" w:rsidRDefault="0094118D" w:rsidP="00F8060B">
            <w:pPr>
              <w:spacing w:after="0" w:line="240" w:lineRule="auto"/>
            </w:pPr>
            <w:r w:rsidRPr="00601D07">
              <w:t>[12]</w:t>
            </w:r>
          </w:p>
          <w:p w:rsidR="0094118D" w:rsidRPr="00601D07" w:rsidRDefault="0094118D" w:rsidP="00F8060B">
            <w:pPr>
              <w:spacing w:after="0" w:line="240" w:lineRule="auto"/>
            </w:pPr>
            <w:r w:rsidRPr="00601D07">
              <w:t>(30)</w:t>
            </w:r>
          </w:p>
        </w:tc>
        <w:tc>
          <w:tcPr>
            <w:tcW w:w="1418" w:type="dxa"/>
            <w:shd w:val="clear" w:color="auto" w:fill="auto"/>
            <w:noWrap/>
            <w:vAlign w:val="bottom"/>
            <w:hideMark/>
          </w:tcPr>
          <w:p w:rsidR="0094118D" w:rsidRPr="00601D07" w:rsidRDefault="00D641C7" w:rsidP="00F8060B">
            <w:pPr>
              <w:spacing w:after="0" w:line="240" w:lineRule="auto"/>
            </w:pPr>
            <w:r w:rsidRPr="00601D07">
              <w:t>12</w:t>
            </w:r>
          </w:p>
          <w:p w:rsidR="0094118D" w:rsidRPr="00601D07" w:rsidRDefault="0094118D" w:rsidP="00F8060B">
            <w:pPr>
              <w:spacing w:after="0" w:line="240" w:lineRule="auto"/>
            </w:pPr>
            <w:r w:rsidRPr="00601D07">
              <w:t>[10]</w:t>
            </w:r>
          </w:p>
          <w:p w:rsidR="0094118D" w:rsidRPr="00601D07" w:rsidRDefault="0094118D" w:rsidP="00F8060B">
            <w:pPr>
              <w:spacing w:after="0" w:line="240" w:lineRule="auto"/>
            </w:pPr>
            <w:r w:rsidRPr="00601D07">
              <w:t>(21)</w:t>
            </w:r>
          </w:p>
        </w:tc>
        <w:tc>
          <w:tcPr>
            <w:tcW w:w="1417" w:type="dxa"/>
            <w:shd w:val="clear" w:color="auto" w:fill="auto"/>
            <w:noWrap/>
            <w:vAlign w:val="bottom"/>
            <w:hideMark/>
          </w:tcPr>
          <w:p w:rsidR="0094118D" w:rsidRPr="00601D07" w:rsidRDefault="00D641C7" w:rsidP="00F8060B">
            <w:pPr>
              <w:spacing w:after="0" w:line="240" w:lineRule="auto"/>
            </w:pPr>
            <w:r w:rsidRPr="00601D07">
              <w:t>7</w:t>
            </w:r>
          </w:p>
          <w:p w:rsidR="0094118D" w:rsidRPr="00601D07" w:rsidRDefault="0094118D" w:rsidP="00F8060B">
            <w:pPr>
              <w:spacing w:after="0" w:line="240" w:lineRule="auto"/>
            </w:pPr>
            <w:r w:rsidRPr="00601D07">
              <w:t>[3]</w:t>
            </w:r>
          </w:p>
          <w:p w:rsidR="0094118D" w:rsidRPr="00601D07" w:rsidRDefault="0094118D" w:rsidP="00F8060B">
            <w:pPr>
              <w:spacing w:after="0" w:line="240" w:lineRule="auto"/>
            </w:pPr>
            <w:r w:rsidRPr="00601D07">
              <w:t>(17)</w:t>
            </w:r>
          </w:p>
        </w:tc>
        <w:tc>
          <w:tcPr>
            <w:tcW w:w="1418" w:type="dxa"/>
            <w:vMerge w:val="restart"/>
            <w:shd w:val="clear" w:color="auto" w:fill="auto"/>
            <w:noWrap/>
            <w:vAlign w:val="bottom"/>
            <w:hideMark/>
          </w:tcPr>
          <w:p w:rsidR="0094118D" w:rsidRPr="00601D07" w:rsidRDefault="00D641C7" w:rsidP="00F8060B">
            <w:pPr>
              <w:spacing w:after="0" w:line="240" w:lineRule="auto"/>
            </w:pPr>
            <w:r w:rsidRPr="00601D07">
              <w:t>205</w:t>
            </w:r>
          </w:p>
          <w:p w:rsidR="0094118D" w:rsidRPr="00601D07" w:rsidRDefault="0094118D" w:rsidP="00F8060B">
            <w:pPr>
              <w:spacing w:after="0" w:line="240" w:lineRule="auto"/>
            </w:pPr>
            <w:r w:rsidRPr="00601D07">
              <w:t>[115]</w:t>
            </w:r>
          </w:p>
          <w:p w:rsidR="0094118D" w:rsidRPr="00601D07" w:rsidRDefault="0094118D" w:rsidP="00F8060B">
            <w:pPr>
              <w:spacing w:after="0" w:line="240" w:lineRule="auto"/>
            </w:pPr>
            <w:r w:rsidRPr="00601D07">
              <w:t>(249)</w:t>
            </w:r>
          </w:p>
          <w:p w:rsidR="0094118D" w:rsidRPr="00601D07" w:rsidRDefault="0094118D" w:rsidP="00F8060B">
            <w:pPr>
              <w:spacing w:after="0" w:line="240" w:lineRule="auto"/>
            </w:pPr>
          </w:p>
        </w:tc>
      </w:tr>
      <w:tr w:rsidR="0094118D" w:rsidRPr="00601D07" w:rsidTr="00F23AE3">
        <w:trPr>
          <w:trHeight w:val="255"/>
        </w:trPr>
        <w:tc>
          <w:tcPr>
            <w:tcW w:w="1716" w:type="dxa"/>
            <w:vMerge/>
            <w:shd w:val="clear" w:color="auto" w:fill="auto"/>
            <w:noWrap/>
            <w:vAlign w:val="bottom"/>
            <w:hideMark/>
          </w:tcPr>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80.5</w:t>
            </w:r>
            <w:r w:rsidR="0094118D" w:rsidRPr="00601D07">
              <w:t>%</w:t>
            </w:r>
          </w:p>
          <w:p w:rsidR="0094118D" w:rsidRPr="00601D07" w:rsidRDefault="0094118D" w:rsidP="00F8060B">
            <w:pPr>
              <w:spacing w:after="0" w:line="240" w:lineRule="auto"/>
            </w:pPr>
            <w:r w:rsidRPr="00601D07">
              <w:t>[78.3%]</w:t>
            </w:r>
          </w:p>
          <w:p w:rsidR="0094118D" w:rsidRPr="00601D07" w:rsidRDefault="0094118D" w:rsidP="00F8060B">
            <w:pPr>
              <w:spacing w:after="0" w:line="240" w:lineRule="auto"/>
            </w:pPr>
            <w:r w:rsidRPr="00601D07">
              <w:t>(72.7%)</w:t>
            </w:r>
          </w:p>
        </w:tc>
        <w:tc>
          <w:tcPr>
            <w:tcW w:w="1559" w:type="dxa"/>
            <w:shd w:val="clear" w:color="auto" w:fill="auto"/>
            <w:noWrap/>
            <w:vAlign w:val="bottom"/>
            <w:hideMark/>
          </w:tcPr>
          <w:p w:rsidR="0094118D" w:rsidRPr="00601D07" w:rsidRDefault="00D641C7" w:rsidP="00F8060B">
            <w:pPr>
              <w:spacing w:after="0" w:line="240" w:lineRule="auto"/>
            </w:pPr>
            <w:r w:rsidRPr="00601D07">
              <w:t>10.2</w:t>
            </w:r>
            <w:r w:rsidR="0094118D" w:rsidRPr="00601D07">
              <w:t>%</w:t>
            </w:r>
          </w:p>
          <w:p w:rsidR="0094118D" w:rsidRPr="00601D07" w:rsidRDefault="0094118D" w:rsidP="00F8060B">
            <w:pPr>
              <w:spacing w:after="0" w:line="240" w:lineRule="auto"/>
            </w:pPr>
            <w:r w:rsidRPr="00601D07">
              <w:t>[10.4%]</w:t>
            </w:r>
          </w:p>
          <w:p w:rsidR="0094118D" w:rsidRPr="00601D07" w:rsidRDefault="0094118D" w:rsidP="00F8060B">
            <w:pPr>
              <w:spacing w:after="0" w:line="240" w:lineRule="auto"/>
            </w:pPr>
            <w:r w:rsidRPr="00601D07">
              <w:t>(12.0%)</w:t>
            </w:r>
          </w:p>
        </w:tc>
        <w:tc>
          <w:tcPr>
            <w:tcW w:w="1418" w:type="dxa"/>
            <w:shd w:val="clear" w:color="auto" w:fill="auto"/>
            <w:noWrap/>
            <w:vAlign w:val="bottom"/>
            <w:hideMark/>
          </w:tcPr>
          <w:p w:rsidR="0094118D" w:rsidRPr="00601D07" w:rsidRDefault="00D641C7" w:rsidP="00F8060B">
            <w:pPr>
              <w:spacing w:after="0" w:line="240" w:lineRule="auto"/>
            </w:pPr>
            <w:r w:rsidRPr="00601D07">
              <w:t>5.9</w:t>
            </w:r>
            <w:r w:rsidR="0094118D" w:rsidRPr="00601D07">
              <w:t>%</w:t>
            </w:r>
          </w:p>
          <w:p w:rsidR="0094118D" w:rsidRPr="00601D07" w:rsidRDefault="0094118D" w:rsidP="00F8060B">
            <w:pPr>
              <w:spacing w:after="0" w:line="240" w:lineRule="auto"/>
            </w:pPr>
            <w:r w:rsidRPr="00601D07">
              <w:t>[8.7%]</w:t>
            </w:r>
          </w:p>
          <w:p w:rsidR="0094118D" w:rsidRPr="00601D07" w:rsidRDefault="0094118D" w:rsidP="00F8060B">
            <w:pPr>
              <w:spacing w:after="0" w:line="240" w:lineRule="auto"/>
            </w:pPr>
            <w:r w:rsidRPr="00601D07">
              <w:t>(8.4%)</w:t>
            </w:r>
          </w:p>
        </w:tc>
        <w:tc>
          <w:tcPr>
            <w:tcW w:w="1417" w:type="dxa"/>
            <w:shd w:val="clear" w:color="auto" w:fill="auto"/>
            <w:noWrap/>
            <w:vAlign w:val="bottom"/>
            <w:hideMark/>
          </w:tcPr>
          <w:p w:rsidR="0094118D" w:rsidRPr="00601D07" w:rsidRDefault="00D641C7" w:rsidP="00F8060B">
            <w:pPr>
              <w:spacing w:after="0" w:line="240" w:lineRule="auto"/>
            </w:pPr>
            <w:r w:rsidRPr="00601D07">
              <w:t>3.4</w:t>
            </w:r>
            <w:r w:rsidR="0094118D" w:rsidRPr="00601D07">
              <w:t>%</w:t>
            </w:r>
          </w:p>
          <w:p w:rsidR="0094118D" w:rsidRPr="00601D07" w:rsidRDefault="0094118D" w:rsidP="00F8060B">
            <w:pPr>
              <w:spacing w:after="0" w:line="240" w:lineRule="auto"/>
            </w:pPr>
            <w:r w:rsidRPr="00601D07">
              <w:t>[2.6%]</w:t>
            </w:r>
          </w:p>
          <w:p w:rsidR="0094118D" w:rsidRPr="00601D07" w:rsidRDefault="0094118D" w:rsidP="00F8060B">
            <w:pPr>
              <w:spacing w:after="0" w:line="240" w:lineRule="auto"/>
            </w:pPr>
            <w:r w:rsidRPr="00601D07">
              <w:t>(6.8%)</w:t>
            </w:r>
          </w:p>
        </w:tc>
        <w:tc>
          <w:tcPr>
            <w:tcW w:w="1418" w:type="dxa"/>
            <w:vMerge/>
            <w:shd w:val="clear" w:color="auto" w:fill="auto"/>
            <w:noWrap/>
            <w:vAlign w:val="bottom"/>
            <w:hideMark/>
          </w:tcPr>
          <w:p w:rsidR="0094118D" w:rsidRPr="00601D07" w:rsidRDefault="0094118D" w:rsidP="00F8060B">
            <w:pPr>
              <w:spacing w:after="0" w:line="240" w:lineRule="auto"/>
            </w:pPr>
          </w:p>
        </w:tc>
      </w:tr>
      <w:tr w:rsidR="0094118D" w:rsidRPr="00601D07" w:rsidTr="00F23AE3">
        <w:trPr>
          <w:trHeight w:val="255"/>
        </w:trPr>
        <w:tc>
          <w:tcPr>
            <w:tcW w:w="1716" w:type="dxa"/>
            <w:vMerge w:val="restart"/>
            <w:shd w:val="clear" w:color="auto" w:fill="auto"/>
            <w:noWrap/>
            <w:vAlign w:val="bottom"/>
            <w:hideMark/>
          </w:tcPr>
          <w:p w:rsidR="0094118D" w:rsidRPr="00601D07" w:rsidRDefault="0094118D" w:rsidP="0094118D">
            <w:pPr>
              <w:spacing w:after="0" w:line="240" w:lineRule="auto"/>
              <w:rPr>
                <w:b/>
              </w:rPr>
            </w:pPr>
            <w:r w:rsidRPr="00601D07">
              <w:rPr>
                <w:b/>
              </w:rPr>
              <w:t>Grammar</w:t>
            </w:r>
          </w:p>
          <w:p w:rsidR="0094118D" w:rsidRPr="00601D07" w:rsidRDefault="0094118D" w:rsidP="0094118D">
            <w:pPr>
              <w:spacing w:after="0" w:line="240" w:lineRule="auto"/>
              <w:rPr>
                <w:b/>
              </w:rPr>
            </w:pPr>
          </w:p>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8</w:t>
            </w:r>
          </w:p>
          <w:p w:rsidR="0094118D" w:rsidRPr="00601D07" w:rsidRDefault="0094118D" w:rsidP="00F8060B">
            <w:pPr>
              <w:spacing w:after="0" w:line="240" w:lineRule="auto"/>
            </w:pPr>
            <w:r w:rsidRPr="00601D07">
              <w:t>[5]</w:t>
            </w:r>
          </w:p>
          <w:p w:rsidR="0094118D" w:rsidRPr="00601D07" w:rsidRDefault="0094118D" w:rsidP="00F8060B">
            <w:pPr>
              <w:spacing w:after="0" w:line="240" w:lineRule="auto"/>
            </w:pPr>
            <w:r w:rsidRPr="00601D07">
              <w:t>(16)</w:t>
            </w:r>
          </w:p>
        </w:tc>
        <w:tc>
          <w:tcPr>
            <w:tcW w:w="1559" w:type="dxa"/>
            <w:shd w:val="clear" w:color="auto" w:fill="auto"/>
            <w:noWrap/>
            <w:vAlign w:val="bottom"/>
            <w:hideMark/>
          </w:tcPr>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(0)</w:t>
            </w:r>
          </w:p>
        </w:tc>
        <w:tc>
          <w:tcPr>
            <w:tcW w:w="1418" w:type="dxa"/>
            <w:shd w:val="clear" w:color="auto" w:fill="auto"/>
            <w:noWrap/>
            <w:vAlign w:val="bottom"/>
            <w:hideMark/>
          </w:tcPr>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[1]</w:t>
            </w:r>
          </w:p>
          <w:p w:rsidR="0094118D" w:rsidRPr="00601D07" w:rsidRDefault="0094118D" w:rsidP="00F8060B">
            <w:pPr>
              <w:spacing w:after="0" w:line="240" w:lineRule="auto"/>
            </w:pPr>
            <w:r w:rsidRPr="00601D07">
              <w:t>(0)</w:t>
            </w:r>
          </w:p>
        </w:tc>
        <w:tc>
          <w:tcPr>
            <w:tcW w:w="1417" w:type="dxa"/>
            <w:shd w:val="clear" w:color="auto" w:fill="auto"/>
            <w:noWrap/>
            <w:vAlign w:val="bottom"/>
            <w:hideMark/>
          </w:tcPr>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(0)</w:t>
            </w:r>
          </w:p>
        </w:tc>
        <w:tc>
          <w:tcPr>
            <w:tcW w:w="1418" w:type="dxa"/>
            <w:vMerge w:val="restart"/>
            <w:shd w:val="clear" w:color="auto" w:fill="auto"/>
            <w:noWrap/>
            <w:vAlign w:val="bottom"/>
            <w:hideMark/>
          </w:tcPr>
          <w:p w:rsidR="0094118D" w:rsidRPr="00601D07" w:rsidRDefault="00D641C7" w:rsidP="00F8060B">
            <w:pPr>
              <w:spacing w:after="0" w:line="240" w:lineRule="auto"/>
            </w:pPr>
            <w:r w:rsidRPr="00601D07">
              <w:t>8</w:t>
            </w:r>
          </w:p>
          <w:p w:rsidR="0094118D" w:rsidRPr="00601D07" w:rsidRDefault="0094118D" w:rsidP="00F8060B">
            <w:pPr>
              <w:spacing w:after="0" w:line="240" w:lineRule="auto"/>
            </w:pPr>
            <w:r w:rsidRPr="00601D07">
              <w:t>[6]</w:t>
            </w:r>
          </w:p>
          <w:p w:rsidR="0094118D" w:rsidRPr="00601D07" w:rsidRDefault="0094118D" w:rsidP="00F8060B">
            <w:pPr>
              <w:spacing w:after="0" w:line="240" w:lineRule="auto"/>
            </w:pPr>
            <w:r w:rsidRPr="00601D07">
              <w:t>(16)</w:t>
            </w:r>
          </w:p>
          <w:p w:rsidR="0094118D" w:rsidRPr="00601D07" w:rsidRDefault="0094118D" w:rsidP="00F8060B">
            <w:pPr>
              <w:spacing w:after="0" w:line="240" w:lineRule="auto"/>
            </w:pPr>
          </w:p>
        </w:tc>
      </w:tr>
      <w:tr w:rsidR="0094118D" w:rsidRPr="00601D07" w:rsidTr="00F23AE3">
        <w:trPr>
          <w:trHeight w:val="255"/>
        </w:trPr>
        <w:tc>
          <w:tcPr>
            <w:tcW w:w="1716" w:type="dxa"/>
            <w:vMerge/>
            <w:shd w:val="clear" w:color="auto" w:fill="auto"/>
            <w:noWrap/>
            <w:vAlign w:val="bottom"/>
            <w:hideMark/>
          </w:tcPr>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94118D" w:rsidP="00F8060B">
            <w:pPr>
              <w:spacing w:after="0" w:line="240" w:lineRule="auto"/>
            </w:pPr>
            <w:r w:rsidRPr="00601D07">
              <w:t>100%</w:t>
            </w:r>
          </w:p>
          <w:p w:rsidR="0094118D" w:rsidRPr="00601D07" w:rsidRDefault="0094118D" w:rsidP="00F8060B">
            <w:pPr>
              <w:spacing w:after="0" w:line="240" w:lineRule="auto"/>
            </w:pPr>
            <w:r w:rsidRPr="00601D07">
              <w:t>[83.3%]</w:t>
            </w:r>
          </w:p>
          <w:p w:rsidR="0094118D" w:rsidRPr="00601D07" w:rsidRDefault="0094118D" w:rsidP="00F8060B">
            <w:pPr>
              <w:spacing w:after="0" w:line="240" w:lineRule="auto"/>
            </w:pPr>
            <w:r w:rsidRPr="00601D07">
              <w:t>(100.0%)</w:t>
            </w:r>
          </w:p>
        </w:tc>
        <w:tc>
          <w:tcPr>
            <w:tcW w:w="1559" w:type="dxa"/>
            <w:shd w:val="clear" w:color="auto" w:fill="auto"/>
            <w:noWrap/>
            <w:vAlign w:val="bottom"/>
            <w:hideMark/>
          </w:tcPr>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(0.0%)</w:t>
            </w:r>
          </w:p>
        </w:tc>
        <w:tc>
          <w:tcPr>
            <w:tcW w:w="1418" w:type="dxa"/>
            <w:shd w:val="clear" w:color="auto" w:fill="auto"/>
            <w:noWrap/>
            <w:vAlign w:val="bottom"/>
            <w:hideMark/>
          </w:tcPr>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[16.7%]</w:t>
            </w:r>
          </w:p>
          <w:p w:rsidR="0094118D" w:rsidRPr="00601D07" w:rsidRDefault="0094118D" w:rsidP="00F8060B">
            <w:pPr>
              <w:spacing w:after="0" w:line="240" w:lineRule="auto"/>
            </w:pPr>
            <w:r w:rsidRPr="00601D07">
              <w:t>(0.0%)</w:t>
            </w:r>
          </w:p>
        </w:tc>
        <w:tc>
          <w:tcPr>
            <w:tcW w:w="1417" w:type="dxa"/>
            <w:shd w:val="clear" w:color="auto" w:fill="auto"/>
            <w:noWrap/>
            <w:vAlign w:val="bottom"/>
            <w:hideMark/>
          </w:tcPr>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(0.0%)</w:t>
            </w:r>
          </w:p>
        </w:tc>
        <w:tc>
          <w:tcPr>
            <w:tcW w:w="1418" w:type="dxa"/>
            <w:vMerge/>
            <w:shd w:val="clear" w:color="auto" w:fill="auto"/>
            <w:noWrap/>
            <w:vAlign w:val="bottom"/>
            <w:hideMark/>
          </w:tcPr>
          <w:p w:rsidR="0094118D" w:rsidRPr="00601D07" w:rsidRDefault="0094118D" w:rsidP="00F8060B">
            <w:pPr>
              <w:spacing w:after="0" w:line="240" w:lineRule="auto"/>
            </w:pPr>
          </w:p>
        </w:tc>
      </w:tr>
      <w:tr w:rsidR="0094118D" w:rsidRPr="00601D07" w:rsidTr="00F23AE3">
        <w:trPr>
          <w:trHeight w:val="255"/>
        </w:trPr>
        <w:tc>
          <w:tcPr>
            <w:tcW w:w="1716" w:type="dxa"/>
            <w:vMerge w:val="restart"/>
            <w:shd w:val="clear" w:color="auto" w:fill="auto"/>
            <w:noWrap/>
            <w:vAlign w:val="bottom"/>
            <w:hideMark/>
          </w:tcPr>
          <w:p w:rsidR="0094118D" w:rsidRPr="00601D07" w:rsidRDefault="0094118D" w:rsidP="0094118D">
            <w:pPr>
              <w:spacing w:after="0" w:line="240" w:lineRule="auto"/>
              <w:rPr>
                <w:b/>
              </w:rPr>
            </w:pPr>
            <w:r w:rsidRPr="00601D07">
              <w:rPr>
                <w:b/>
              </w:rPr>
              <w:t>Independent</w:t>
            </w:r>
          </w:p>
          <w:p w:rsidR="0094118D" w:rsidRPr="00601D07" w:rsidRDefault="0094118D" w:rsidP="0094118D">
            <w:pPr>
              <w:spacing w:after="0" w:line="240" w:lineRule="auto"/>
              <w:rPr>
                <w:b/>
              </w:rPr>
            </w:pPr>
          </w:p>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40</w:t>
            </w:r>
          </w:p>
          <w:p w:rsidR="0094118D" w:rsidRPr="00601D07" w:rsidRDefault="0094118D" w:rsidP="00F8060B">
            <w:pPr>
              <w:spacing w:after="0" w:line="240" w:lineRule="auto"/>
            </w:pPr>
            <w:r w:rsidRPr="00601D07">
              <w:t>[22]</w:t>
            </w:r>
          </w:p>
          <w:p w:rsidR="0094118D" w:rsidRPr="00601D07" w:rsidRDefault="0094118D" w:rsidP="00F8060B">
            <w:pPr>
              <w:spacing w:after="0" w:line="240" w:lineRule="auto"/>
            </w:pPr>
            <w:r w:rsidRPr="00601D07">
              <w:t>(48)</w:t>
            </w:r>
          </w:p>
        </w:tc>
        <w:tc>
          <w:tcPr>
            <w:tcW w:w="1559" w:type="dxa"/>
            <w:shd w:val="clear" w:color="auto" w:fill="auto"/>
            <w:noWrap/>
            <w:vAlign w:val="bottom"/>
            <w:hideMark/>
          </w:tcPr>
          <w:p w:rsidR="0094118D" w:rsidRPr="00601D07" w:rsidRDefault="00D641C7" w:rsidP="00F8060B">
            <w:pPr>
              <w:spacing w:after="0" w:line="240" w:lineRule="auto"/>
            </w:pPr>
            <w:r w:rsidRPr="00601D07">
              <w:t>1</w:t>
            </w:r>
          </w:p>
          <w:p w:rsidR="0094118D" w:rsidRPr="00601D07" w:rsidRDefault="0094118D" w:rsidP="00F8060B">
            <w:pPr>
              <w:spacing w:after="0" w:line="240" w:lineRule="auto"/>
            </w:pPr>
            <w:r w:rsidRPr="00601D07">
              <w:t>[1]</w:t>
            </w:r>
          </w:p>
          <w:p w:rsidR="0094118D" w:rsidRPr="00601D07" w:rsidRDefault="0094118D" w:rsidP="00F8060B">
            <w:pPr>
              <w:spacing w:after="0" w:line="240" w:lineRule="auto"/>
            </w:pPr>
            <w:r w:rsidRPr="00601D07">
              <w:t>(2)</w:t>
            </w:r>
          </w:p>
        </w:tc>
        <w:tc>
          <w:tcPr>
            <w:tcW w:w="1418" w:type="dxa"/>
            <w:shd w:val="clear" w:color="auto" w:fill="auto"/>
            <w:noWrap/>
            <w:vAlign w:val="bottom"/>
            <w:hideMark/>
          </w:tcPr>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(1)</w:t>
            </w:r>
          </w:p>
        </w:tc>
        <w:tc>
          <w:tcPr>
            <w:tcW w:w="1417" w:type="dxa"/>
            <w:shd w:val="clear" w:color="auto" w:fill="auto"/>
            <w:noWrap/>
            <w:vAlign w:val="bottom"/>
            <w:hideMark/>
          </w:tcPr>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[0]</w:t>
            </w:r>
          </w:p>
          <w:p w:rsidR="0094118D" w:rsidRPr="00601D07" w:rsidRDefault="0094118D" w:rsidP="00F8060B">
            <w:pPr>
              <w:spacing w:after="0" w:line="240" w:lineRule="auto"/>
            </w:pPr>
            <w:r w:rsidRPr="00601D07">
              <w:t>(1)</w:t>
            </w:r>
          </w:p>
        </w:tc>
        <w:tc>
          <w:tcPr>
            <w:tcW w:w="1418" w:type="dxa"/>
            <w:vMerge w:val="restart"/>
            <w:shd w:val="clear" w:color="auto" w:fill="auto"/>
            <w:noWrap/>
            <w:vAlign w:val="bottom"/>
            <w:hideMark/>
          </w:tcPr>
          <w:p w:rsidR="0094118D" w:rsidRPr="00601D07" w:rsidRDefault="00D641C7" w:rsidP="00F8060B">
            <w:pPr>
              <w:spacing w:after="0" w:line="240" w:lineRule="auto"/>
            </w:pPr>
            <w:r w:rsidRPr="00601D07">
              <w:t>41</w:t>
            </w:r>
          </w:p>
          <w:p w:rsidR="0094118D" w:rsidRPr="00601D07" w:rsidRDefault="0094118D" w:rsidP="00F8060B">
            <w:pPr>
              <w:spacing w:after="0" w:line="240" w:lineRule="auto"/>
            </w:pPr>
            <w:r w:rsidRPr="00601D07">
              <w:t>[23]</w:t>
            </w:r>
          </w:p>
          <w:p w:rsidR="0094118D" w:rsidRPr="00601D07" w:rsidRDefault="0094118D" w:rsidP="00F8060B">
            <w:pPr>
              <w:spacing w:after="0" w:line="240" w:lineRule="auto"/>
            </w:pPr>
            <w:r w:rsidRPr="00601D07">
              <w:t>(52)</w:t>
            </w:r>
          </w:p>
          <w:p w:rsidR="0094118D" w:rsidRPr="00601D07" w:rsidRDefault="0094118D" w:rsidP="00F8060B">
            <w:pPr>
              <w:spacing w:after="0" w:line="240" w:lineRule="auto"/>
            </w:pPr>
          </w:p>
        </w:tc>
      </w:tr>
      <w:tr w:rsidR="0094118D" w:rsidRPr="00601D07" w:rsidTr="00F23AE3">
        <w:trPr>
          <w:trHeight w:val="255"/>
        </w:trPr>
        <w:tc>
          <w:tcPr>
            <w:tcW w:w="1716" w:type="dxa"/>
            <w:vMerge/>
            <w:shd w:val="clear" w:color="auto" w:fill="auto"/>
            <w:noWrap/>
            <w:vAlign w:val="bottom"/>
            <w:hideMark/>
          </w:tcPr>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97.6</w:t>
            </w:r>
            <w:r w:rsidR="0094118D" w:rsidRPr="00601D07">
              <w:t>%</w:t>
            </w:r>
          </w:p>
          <w:p w:rsidR="0094118D" w:rsidRPr="00601D07" w:rsidRDefault="0094118D" w:rsidP="00F8060B">
            <w:pPr>
              <w:spacing w:after="0" w:line="240" w:lineRule="auto"/>
            </w:pPr>
            <w:r w:rsidRPr="00601D07">
              <w:t>[95.7%]</w:t>
            </w:r>
          </w:p>
          <w:p w:rsidR="0094118D" w:rsidRPr="00601D07" w:rsidRDefault="0094118D" w:rsidP="00F8060B">
            <w:pPr>
              <w:spacing w:after="0" w:line="240" w:lineRule="auto"/>
            </w:pPr>
            <w:r w:rsidRPr="00601D07">
              <w:t>(92.3%)</w:t>
            </w:r>
          </w:p>
        </w:tc>
        <w:tc>
          <w:tcPr>
            <w:tcW w:w="1559" w:type="dxa"/>
            <w:shd w:val="clear" w:color="auto" w:fill="auto"/>
            <w:noWrap/>
            <w:vAlign w:val="bottom"/>
            <w:hideMark/>
          </w:tcPr>
          <w:p w:rsidR="0094118D" w:rsidRPr="00601D07" w:rsidRDefault="00D641C7" w:rsidP="00F8060B">
            <w:pPr>
              <w:spacing w:after="0" w:line="240" w:lineRule="auto"/>
            </w:pPr>
            <w:r w:rsidRPr="00601D07">
              <w:t>2.4</w:t>
            </w:r>
            <w:r w:rsidR="0094118D" w:rsidRPr="00601D07">
              <w:t>%</w:t>
            </w:r>
          </w:p>
          <w:p w:rsidR="0094118D" w:rsidRPr="00601D07" w:rsidRDefault="0094118D" w:rsidP="00F8060B">
            <w:pPr>
              <w:spacing w:after="0" w:line="240" w:lineRule="auto"/>
            </w:pPr>
            <w:r w:rsidRPr="00601D07">
              <w:t>[4.3%]</w:t>
            </w:r>
          </w:p>
          <w:p w:rsidR="0094118D" w:rsidRPr="00601D07" w:rsidRDefault="0094118D" w:rsidP="00F8060B">
            <w:pPr>
              <w:spacing w:after="0" w:line="240" w:lineRule="auto"/>
            </w:pPr>
            <w:r w:rsidRPr="00601D07">
              <w:t>(3.8%)</w:t>
            </w:r>
          </w:p>
        </w:tc>
        <w:tc>
          <w:tcPr>
            <w:tcW w:w="1418" w:type="dxa"/>
            <w:shd w:val="clear" w:color="auto" w:fill="auto"/>
            <w:noWrap/>
            <w:vAlign w:val="bottom"/>
            <w:hideMark/>
          </w:tcPr>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(1.9%)</w:t>
            </w:r>
          </w:p>
        </w:tc>
        <w:tc>
          <w:tcPr>
            <w:tcW w:w="1417" w:type="dxa"/>
            <w:shd w:val="clear" w:color="auto" w:fill="auto"/>
            <w:noWrap/>
            <w:vAlign w:val="bottom"/>
            <w:hideMark/>
          </w:tcPr>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[0.0%]</w:t>
            </w:r>
          </w:p>
          <w:p w:rsidR="0094118D" w:rsidRPr="00601D07" w:rsidRDefault="0094118D" w:rsidP="00F8060B">
            <w:pPr>
              <w:spacing w:after="0" w:line="240" w:lineRule="auto"/>
            </w:pPr>
            <w:r w:rsidRPr="00601D07">
              <w:t>(1.9%)</w:t>
            </w:r>
          </w:p>
        </w:tc>
        <w:tc>
          <w:tcPr>
            <w:tcW w:w="1418" w:type="dxa"/>
            <w:vMerge/>
            <w:shd w:val="clear" w:color="auto" w:fill="auto"/>
            <w:noWrap/>
            <w:vAlign w:val="bottom"/>
            <w:hideMark/>
          </w:tcPr>
          <w:p w:rsidR="0094118D" w:rsidRPr="00601D07" w:rsidRDefault="0094118D" w:rsidP="00F8060B">
            <w:pPr>
              <w:spacing w:after="0" w:line="240" w:lineRule="auto"/>
            </w:pPr>
          </w:p>
        </w:tc>
      </w:tr>
      <w:tr w:rsidR="0094118D" w:rsidRPr="00601D07" w:rsidTr="00F23AE3">
        <w:trPr>
          <w:trHeight w:val="255"/>
        </w:trPr>
        <w:tc>
          <w:tcPr>
            <w:tcW w:w="1716" w:type="dxa"/>
            <w:vMerge w:val="restart"/>
            <w:shd w:val="clear" w:color="auto" w:fill="auto"/>
            <w:noWrap/>
            <w:vAlign w:val="bottom"/>
            <w:hideMark/>
          </w:tcPr>
          <w:p w:rsidR="0094118D" w:rsidRPr="00601D07" w:rsidRDefault="0094118D" w:rsidP="0094118D">
            <w:pPr>
              <w:spacing w:after="0" w:line="240" w:lineRule="auto"/>
              <w:rPr>
                <w:b/>
              </w:rPr>
            </w:pPr>
            <w:r w:rsidRPr="00601D07">
              <w:rPr>
                <w:b/>
              </w:rPr>
              <w:t xml:space="preserve">Academy </w:t>
            </w:r>
            <w:r w:rsidR="00BF0339" w:rsidRPr="00601D07">
              <w:rPr>
                <w:b/>
              </w:rPr>
              <w:br/>
            </w:r>
            <w:r w:rsidRPr="00601D07">
              <w:rPr>
                <w:b/>
              </w:rPr>
              <w:t>(old style)</w:t>
            </w:r>
          </w:p>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9</w:t>
            </w:r>
          </w:p>
          <w:p w:rsidR="0094118D" w:rsidRPr="00601D07" w:rsidRDefault="0094118D" w:rsidP="00F8060B">
            <w:pPr>
              <w:spacing w:after="0" w:line="240" w:lineRule="auto"/>
            </w:pPr>
            <w:r w:rsidRPr="00601D07">
              <w:t>[5]</w:t>
            </w:r>
          </w:p>
          <w:p w:rsidR="0094118D" w:rsidRPr="00601D07" w:rsidRDefault="0094118D" w:rsidP="00F8060B">
            <w:pPr>
              <w:spacing w:after="0" w:line="240" w:lineRule="auto"/>
            </w:pPr>
            <w:r w:rsidRPr="00601D07">
              <w:t>(14)</w:t>
            </w:r>
          </w:p>
        </w:tc>
        <w:tc>
          <w:tcPr>
            <w:tcW w:w="1559" w:type="dxa"/>
            <w:shd w:val="clear" w:color="auto" w:fill="auto"/>
            <w:noWrap/>
            <w:vAlign w:val="bottom"/>
            <w:hideMark/>
          </w:tcPr>
          <w:p w:rsidR="0094118D" w:rsidRPr="00601D07" w:rsidRDefault="00D641C7" w:rsidP="00F8060B">
            <w:pPr>
              <w:spacing w:after="0" w:line="240" w:lineRule="auto"/>
            </w:pPr>
            <w:r w:rsidRPr="00601D07">
              <w:t>3</w:t>
            </w:r>
          </w:p>
          <w:p w:rsidR="0094118D" w:rsidRPr="00601D07" w:rsidRDefault="0094118D" w:rsidP="00F8060B">
            <w:pPr>
              <w:spacing w:after="0" w:line="240" w:lineRule="auto"/>
            </w:pPr>
            <w:r w:rsidRPr="00601D07">
              <w:t>[3]</w:t>
            </w:r>
          </w:p>
          <w:p w:rsidR="0094118D" w:rsidRPr="00601D07" w:rsidRDefault="0094118D" w:rsidP="00F8060B">
            <w:pPr>
              <w:spacing w:after="0" w:line="240" w:lineRule="auto"/>
            </w:pPr>
            <w:r w:rsidRPr="00601D07">
              <w:t>(4)</w:t>
            </w:r>
          </w:p>
        </w:tc>
        <w:tc>
          <w:tcPr>
            <w:tcW w:w="1418" w:type="dxa"/>
            <w:shd w:val="clear" w:color="auto" w:fill="auto"/>
            <w:noWrap/>
            <w:vAlign w:val="bottom"/>
            <w:hideMark/>
          </w:tcPr>
          <w:p w:rsidR="0094118D" w:rsidRPr="00601D07" w:rsidRDefault="00D641C7" w:rsidP="00F8060B">
            <w:pPr>
              <w:spacing w:after="0" w:line="240" w:lineRule="auto"/>
            </w:pPr>
            <w:r w:rsidRPr="00601D07">
              <w:t>3</w:t>
            </w:r>
          </w:p>
          <w:p w:rsidR="0094118D" w:rsidRPr="00601D07" w:rsidRDefault="0094118D" w:rsidP="00F8060B">
            <w:pPr>
              <w:spacing w:after="0" w:line="240" w:lineRule="auto"/>
            </w:pPr>
            <w:r w:rsidRPr="00601D07">
              <w:t>[1]</w:t>
            </w:r>
          </w:p>
          <w:p w:rsidR="0094118D" w:rsidRPr="00601D07" w:rsidRDefault="0094118D" w:rsidP="00F8060B">
            <w:pPr>
              <w:spacing w:after="0" w:line="240" w:lineRule="auto"/>
            </w:pPr>
            <w:r w:rsidRPr="00601D07">
              <w:t>(1)</w:t>
            </w:r>
          </w:p>
        </w:tc>
        <w:tc>
          <w:tcPr>
            <w:tcW w:w="1417" w:type="dxa"/>
            <w:shd w:val="clear" w:color="auto" w:fill="auto"/>
            <w:noWrap/>
            <w:vAlign w:val="bottom"/>
            <w:hideMark/>
          </w:tcPr>
          <w:p w:rsidR="0094118D" w:rsidRPr="00601D07" w:rsidRDefault="00D641C7" w:rsidP="00F8060B">
            <w:pPr>
              <w:spacing w:after="0" w:line="240" w:lineRule="auto"/>
            </w:pPr>
            <w:r w:rsidRPr="00601D07">
              <w:t>4</w:t>
            </w:r>
          </w:p>
          <w:p w:rsidR="0094118D" w:rsidRPr="00601D07" w:rsidRDefault="0094118D" w:rsidP="00F8060B">
            <w:pPr>
              <w:spacing w:after="0" w:line="240" w:lineRule="auto"/>
            </w:pPr>
            <w:r w:rsidRPr="00601D07">
              <w:t>[1]</w:t>
            </w:r>
          </w:p>
          <w:p w:rsidR="0094118D" w:rsidRPr="00601D07" w:rsidRDefault="0094118D" w:rsidP="00F8060B">
            <w:pPr>
              <w:spacing w:after="0" w:line="240" w:lineRule="auto"/>
            </w:pPr>
            <w:r w:rsidRPr="00601D07">
              <w:t>(0)</w:t>
            </w:r>
          </w:p>
        </w:tc>
        <w:tc>
          <w:tcPr>
            <w:tcW w:w="1418" w:type="dxa"/>
            <w:vMerge w:val="restart"/>
            <w:shd w:val="clear" w:color="auto" w:fill="auto"/>
            <w:noWrap/>
            <w:vAlign w:val="bottom"/>
            <w:hideMark/>
          </w:tcPr>
          <w:p w:rsidR="0094118D" w:rsidRPr="00601D07" w:rsidRDefault="00D641C7" w:rsidP="00F8060B">
            <w:pPr>
              <w:spacing w:after="0" w:line="240" w:lineRule="auto"/>
            </w:pPr>
            <w:r w:rsidRPr="00601D07">
              <w:t>1</w:t>
            </w:r>
            <w:r w:rsidR="0094118D" w:rsidRPr="00601D07">
              <w:t>9</w:t>
            </w:r>
          </w:p>
          <w:p w:rsidR="0094118D" w:rsidRPr="00601D07" w:rsidRDefault="0094118D" w:rsidP="00F8060B">
            <w:pPr>
              <w:spacing w:after="0" w:line="240" w:lineRule="auto"/>
            </w:pPr>
            <w:r w:rsidRPr="00601D07">
              <w:t>[10]</w:t>
            </w:r>
          </w:p>
          <w:p w:rsidR="0094118D" w:rsidRPr="00601D07" w:rsidRDefault="0094118D" w:rsidP="00F8060B">
            <w:pPr>
              <w:spacing w:after="0" w:line="240" w:lineRule="auto"/>
            </w:pPr>
            <w:r w:rsidRPr="00601D07">
              <w:t>(19)</w:t>
            </w:r>
          </w:p>
          <w:p w:rsidR="0094118D" w:rsidRPr="00601D07" w:rsidRDefault="0094118D" w:rsidP="00F8060B">
            <w:pPr>
              <w:spacing w:after="0" w:line="240" w:lineRule="auto"/>
            </w:pPr>
          </w:p>
        </w:tc>
      </w:tr>
      <w:tr w:rsidR="0094118D" w:rsidRPr="00601D07" w:rsidTr="00F23AE3">
        <w:trPr>
          <w:trHeight w:val="255"/>
        </w:trPr>
        <w:tc>
          <w:tcPr>
            <w:tcW w:w="1716" w:type="dxa"/>
            <w:vMerge/>
            <w:shd w:val="clear" w:color="auto" w:fill="auto"/>
            <w:noWrap/>
            <w:vAlign w:val="bottom"/>
            <w:hideMark/>
          </w:tcPr>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47.4</w:t>
            </w:r>
            <w:r w:rsidR="0094118D" w:rsidRPr="00601D07">
              <w:t>%</w:t>
            </w:r>
          </w:p>
          <w:p w:rsidR="0094118D" w:rsidRPr="00601D07" w:rsidRDefault="0094118D" w:rsidP="00F8060B">
            <w:pPr>
              <w:spacing w:after="0" w:line="240" w:lineRule="auto"/>
            </w:pPr>
            <w:r w:rsidRPr="00601D07">
              <w:t>[50.0%]</w:t>
            </w:r>
          </w:p>
          <w:p w:rsidR="0094118D" w:rsidRPr="00601D07" w:rsidRDefault="0094118D" w:rsidP="00F8060B">
            <w:pPr>
              <w:spacing w:after="0" w:line="240" w:lineRule="auto"/>
            </w:pPr>
            <w:r w:rsidRPr="00601D07">
              <w:t>(56.0%)</w:t>
            </w:r>
          </w:p>
        </w:tc>
        <w:tc>
          <w:tcPr>
            <w:tcW w:w="1559" w:type="dxa"/>
            <w:shd w:val="clear" w:color="auto" w:fill="auto"/>
            <w:noWrap/>
            <w:vAlign w:val="bottom"/>
            <w:hideMark/>
          </w:tcPr>
          <w:p w:rsidR="0094118D" w:rsidRPr="00601D07" w:rsidRDefault="00D641C7" w:rsidP="00F8060B">
            <w:pPr>
              <w:spacing w:after="0" w:line="240" w:lineRule="auto"/>
            </w:pPr>
            <w:r w:rsidRPr="00601D07">
              <w:t>15.8</w:t>
            </w:r>
            <w:r w:rsidR="0094118D" w:rsidRPr="00601D07">
              <w:t>%</w:t>
            </w:r>
          </w:p>
          <w:p w:rsidR="0094118D" w:rsidRPr="00601D07" w:rsidRDefault="0094118D" w:rsidP="00F8060B">
            <w:pPr>
              <w:spacing w:after="0" w:line="240" w:lineRule="auto"/>
            </w:pPr>
            <w:r w:rsidRPr="00601D07">
              <w:t>[30.0%]</w:t>
            </w:r>
          </w:p>
          <w:p w:rsidR="0094118D" w:rsidRPr="00601D07" w:rsidRDefault="0094118D" w:rsidP="00F8060B">
            <w:pPr>
              <w:spacing w:after="0" w:line="240" w:lineRule="auto"/>
            </w:pPr>
            <w:r w:rsidRPr="00601D07">
              <w:t>(16.0%)</w:t>
            </w:r>
          </w:p>
        </w:tc>
        <w:tc>
          <w:tcPr>
            <w:tcW w:w="1418" w:type="dxa"/>
            <w:shd w:val="clear" w:color="auto" w:fill="auto"/>
            <w:noWrap/>
            <w:vAlign w:val="bottom"/>
            <w:hideMark/>
          </w:tcPr>
          <w:p w:rsidR="0094118D" w:rsidRPr="00601D07" w:rsidRDefault="00D641C7" w:rsidP="00F8060B">
            <w:pPr>
              <w:spacing w:after="0" w:line="240" w:lineRule="auto"/>
            </w:pPr>
            <w:r w:rsidRPr="00601D07">
              <w:t>15.8</w:t>
            </w:r>
            <w:r w:rsidR="0094118D" w:rsidRPr="00601D07">
              <w:t>%</w:t>
            </w:r>
          </w:p>
          <w:p w:rsidR="0094118D" w:rsidRPr="00601D07" w:rsidRDefault="0094118D" w:rsidP="00F8060B">
            <w:pPr>
              <w:spacing w:after="0" w:line="240" w:lineRule="auto"/>
            </w:pPr>
            <w:r w:rsidRPr="00601D07">
              <w:t>[10.0%]</w:t>
            </w:r>
          </w:p>
          <w:p w:rsidR="0094118D" w:rsidRPr="00601D07" w:rsidRDefault="0094118D" w:rsidP="00F8060B">
            <w:pPr>
              <w:spacing w:after="0" w:line="240" w:lineRule="auto"/>
            </w:pPr>
            <w:r w:rsidRPr="00601D07">
              <w:t>(20.0%)</w:t>
            </w:r>
          </w:p>
        </w:tc>
        <w:tc>
          <w:tcPr>
            <w:tcW w:w="1417" w:type="dxa"/>
            <w:shd w:val="clear" w:color="auto" w:fill="auto"/>
            <w:noWrap/>
            <w:vAlign w:val="bottom"/>
            <w:hideMark/>
          </w:tcPr>
          <w:p w:rsidR="0094118D" w:rsidRPr="00601D07" w:rsidRDefault="00D641C7" w:rsidP="00F8060B">
            <w:pPr>
              <w:spacing w:after="0" w:line="240" w:lineRule="auto"/>
            </w:pPr>
            <w:r w:rsidRPr="00601D07">
              <w:t>21.1</w:t>
            </w:r>
            <w:r w:rsidR="0094118D" w:rsidRPr="00601D07">
              <w:t>%</w:t>
            </w:r>
          </w:p>
          <w:p w:rsidR="0094118D" w:rsidRPr="00601D07" w:rsidRDefault="0094118D" w:rsidP="00F8060B">
            <w:pPr>
              <w:spacing w:after="0" w:line="240" w:lineRule="auto"/>
            </w:pPr>
            <w:r w:rsidRPr="00601D07">
              <w:t>[10.0%]</w:t>
            </w:r>
          </w:p>
          <w:p w:rsidR="0094118D" w:rsidRPr="00601D07" w:rsidRDefault="0094118D" w:rsidP="00F8060B">
            <w:pPr>
              <w:spacing w:after="0" w:line="240" w:lineRule="auto"/>
            </w:pPr>
            <w:r w:rsidRPr="00601D07">
              <w:t>(8.0%)</w:t>
            </w:r>
          </w:p>
        </w:tc>
        <w:tc>
          <w:tcPr>
            <w:tcW w:w="1418" w:type="dxa"/>
            <w:vMerge/>
            <w:shd w:val="clear" w:color="auto" w:fill="auto"/>
            <w:noWrap/>
            <w:vAlign w:val="bottom"/>
            <w:hideMark/>
          </w:tcPr>
          <w:p w:rsidR="0094118D" w:rsidRPr="00601D07" w:rsidRDefault="0094118D" w:rsidP="00F8060B">
            <w:pPr>
              <w:spacing w:after="0" w:line="240" w:lineRule="auto"/>
            </w:pPr>
          </w:p>
        </w:tc>
      </w:tr>
      <w:tr w:rsidR="0094118D" w:rsidRPr="00601D07" w:rsidTr="00F23AE3">
        <w:trPr>
          <w:trHeight w:val="255"/>
        </w:trPr>
        <w:tc>
          <w:tcPr>
            <w:tcW w:w="1716" w:type="dxa"/>
            <w:vMerge w:val="restart"/>
            <w:shd w:val="clear" w:color="auto" w:fill="auto"/>
            <w:noWrap/>
            <w:vAlign w:val="bottom"/>
            <w:hideMark/>
          </w:tcPr>
          <w:p w:rsidR="0094118D" w:rsidRPr="00601D07" w:rsidRDefault="0094118D" w:rsidP="0094118D">
            <w:pPr>
              <w:spacing w:after="0" w:line="240" w:lineRule="auto"/>
              <w:rPr>
                <w:b/>
              </w:rPr>
            </w:pPr>
            <w:r w:rsidRPr="00601D07">
              <w:rPr>
                <w:b/>
              </w:rPr>
              <w:t xml:space="preserve">Academy (new) </w:t>
            </w:r>
          </w:p>
          <w:p w:rsidR="0094118D" w:rsidRPr="00601D07" w:rsidRDefault="0094118D" w:rsidP="0094118D">
            <w:pPr>
              <w:spacing w:after="0" w:line="240" w:lineRule="auto"/>
              <w:rPr>
                <w:b/>
              </w:rPr>
            </w:pPr>
          </w:p>
          <w:p w:rsidR="0094118D" w:rsidRPr="00601D07" w:rsidRDefault="0094118D" w:rsidP="0094118D">
            <w:pPr>
              <w:spacing w:after="0" w:line="240" w:lineRule="auto"/>
              <w:rPr>
                <w:b/>
              </w:rPr>
            </w:pPr>
          </w:p>
        </w:tc>
        <w:tc>
          <w:tcPr>
            <w:tcW w:w="1418" w:type="dxa"/>
            <w:shd w:val="clear" w:color="auto" w:fill="auto"/>
            <w:noWrap/>
            <w:vAlign w:val="bottom"/>
            <w:hideMark/>
          </w:tcPr>
          <w:p w:rsidR="0094118D" w:rsidRPr="00601D07" w:rsidRDefault="00D641C7" w:rsidP="00F8060B">
            <w:pPr>
              <w:spacing w:after="0" w:line="240" w:lineRule="auto"/>
            </w:pPr>
            <w:r w:rsidRPr="00601D07">
              <w:t>146</w:t>
            </w:r>
          </w:p>
          <w:p w:rsidR="0094118D" w:rsidRPr="00601D07" w:rsidRDefault="0094118D" w:rsidP="00F8060B">
            <w:pPr>
              <w:spacing w:after="0" w:line="240" w:lineRule="auto"/>
            </w:pPr>
            <w:r w:rsidRPr="00601D07">
              <w:t>[56]</w:t>
            </w:r>
          </w:p>
          <w:p w:rsidR="0094118D" w:rsidRPr="00601D07" w:rsidRDefault="0094118D" w:rsidP="00F8060B">
            <w:pPr>
              <w:spacing w:after="0" w:line="240" w:lineRule="auto"/>
            </w:pPr>
            <w:r w:rsidRPr="00601D07">
              <w:t>(28)</w:t>
            </w:r>
          </w:p>
        </w:tc>
        <w:tc>
          <w:tcPr>
            <w:tcW w:w="1559" w:type="dxa"/>
            <w:shd w:val="clear" w:color="auto" w:fill="auto"/>
            <w:noWrap/>
            <w:vAlign w:val="bottom"/>
            <w:hideMark/>
          </w:tcPr>
          <w:p w:rsidR="0094118D" w:rsidRPr="00601D07" w:rsidRDefault="00D641C7" w:rsidP="00F8060B">
            <w:pPr>
              <w:spacing w:after="0" w:line="240" w:lineRule="auto"/>
            </w:pPr>
            <w:r w:rsidRPr="00601D07">
              <w:t>19</w:t>
            </w:r>
          </w:p>
          <w:p w:rsidR="0094118D" w:rsidRPr="00601D07" w:rsidRDefault="0094118D" w:rsidP="00F8060B">
            <w:pPr>
              <w:spacing w:after="0" w:line="240" w:lineRule="auto"/>
            </w:pPr>
            <w:r w:rsidRPr="00601D07">
              <w:t>[10]</w:t>
            </w:r>
          </w:p>
          <w:p w:rsidR="0094118D" w:rsidRPr="00601D07" w:rsidRDefault="0094118D" w:rsidP="00F8060B">
            <w:pPr>
              <w:spacing w:after="0" w:line="240" w:lineRule="auto"/>
            </w:pPr>
            <w:r w:rsidRPr="00601D07">
              <w:t>(4)</w:t>
            </w:r>
          </w:p>
        </w:tc>
        <w:tc>
          <w:tcPr>
            <w:tcW w:w="1418" w:type="dxa"/>
            <w:shd w:val="clear" w:color="auto" w:fill="auto"/>
            <w:noWrap/>
            <w:vAlign w:val="bottom"/>
            <w:hideMark/>
          </w:tcPr>
          <w:p w:rsidR="0094118D" w:rsidRPr="00601D07" w:rsidRDefault="00D641C7" w:rsidP="00F8060B">
            <w:pPr>
              <w:spacing w:after="0" w:line="240" w:lineRule="auto"/>
            </w:pPr>
            <w:r w:rsidRPr="00601D07">
              <w:t>6</w:t>
            </w:r>
          </w:p>
          <w:p w:rsidR="0094118D" w:rsidRPr="00601D07" w:rsidRDefault="0094118D" w:rsidP="00F8060B">
            <w:pPr>
              <w:spacing w:after="0" w:line="240" w:lineRule="auto"/>
            </w:pPr>
            <w:r w:rsidRPr="00601D07">
              <w:t>[7]</w:t>
            </w:r>
          </w:p>
          <w:p w:rsidR="0094118D" w:rsidRPr="00601D07" w:rsidRDefault="0094118D" w:rsidP="00F8060B">
            <w:pPr>
              <w:spacing w:after="0" w:line="240" w:lineRule="auto"/>
            </w:pPr>
            <w:r w:rsidRPr="00601D07">
              <w:t>(1)</w:t>
            </w:r>
          </w:p>
        </w:tc>
        <w:tc>
          <w:tcPr>
            <w:tcW w:w="1417" w:type="dxa"/>
            <w:shd w:val="clear" w:color="auto" w:fill="auto"/>
            <w:noWrap/>
            <w:vAlign w:val="bottom"/>
            <w:hideMark/>
          </w:tcPr>
          <w:p w:rsidR="0094118D" w:rsidRPr="00601D07" w:rsidRDefault="00D641C7" w:rsidP="00F8060B">
            <w:pPr>
              <w:spacing w:after="0" w:line="240" w:lineRule="auto"/>
            </w:pPr>
            <w:r w:rsidRPr="00601D07">
              <w:t>14</w:t>
            </w:r>
          </w:p>
          <w:p w:rsidR="0094118D" w:rsidRPr="00601D07" w:rsidRDefault="0094118D" w:rsidP="00F8060B">
            <w:pPr>
              <w:spacing w:after="0" w:line="240" w:lineRule="auto"/>
            </w:pPr>
            <w:r w:rsidRPr="00601D07">
              <w:t>[2]</w:t>
            </w:r>
          </w:p>
          <w:p w:rsidR="0094118D" w:rsidRPr="00601D07" w:rsidRDefault="0094118D" w:rsidP="00F8060B">
            <w:pPr>
              <w:spacing w:after="0" w:line="240" w:lineRule="auto"/>
            </w:pPr>
            <w:r w:rsidRPr="00601D07">
              <w:t>(0)</w:t>
            </w:r>
          </w:p>
        </w:tc>
        <w:tc>
          <w:tcPr>
            <w:tcW w:w="1418" w:type="dxa"/>
            <w:vMerge w:val="restart"/>
            <w:shd w:val="clear" w:color="auto" w:fill="auto"/>
            <w:noWrap/>
            <w:vAlign w:val="bottom"/>
            <w:hideMark/>
          </w:tcPr>
          <w:p w:rsidR="0094118D" w:rsidRPr="00601D07" w:rsidRDefault="00632E94" w:rsidP="00F8060B">
            <w:pPr>
              <w:spacing w:after="0" w:line="240" w:lineRule="auto"/>
            </w:pPr>
            <w:r w:rsidRPr="00601D07">
              <w:t>18</w:t>
            </w:r>
            <w:r w:rsidR="00D641C7" w:rsidRPr="00601D07">
              <w:t>5</w:t>
            </w:r>
          </w:p>
          <w:p w:rsidR="0094118D" w:rsidRPr="00601D07" w:rsidRDefault="0094118D" w:rsidP="00F8060B">
            <w:pPr>
              <w:spacing w:after="0" w:line="240" w:lineRule="auto"/>
            </w:pPr>
            <w:r w:rsidRPr="00601D07">
              <w:t>[75]</w:t>
            </w:r>
          </w:p>
          <w:p w:rsidR="0094118D" w:rsidRPr="00601D07" w:rsidRDefault="0094118D" w:rsidP="00F8060B">
            <w:pPr>
              <w:spacing w:after="0" w:line="240" w:lineRule="auto"/>
            </w:pPr>
            <w:r w:rsidRPr="00601D07">
              <w:t>(33)</w:t>
            </w:r>
          </w:p>
          <w:p w:rsidR="0094118D" w:rsidRPr="00601D07" w:rsidRDefault="0094118D" w:rsidP="00F8060B">
            <w:pPr>
              <w:spacing w:after="0" w:line="240" w:lineRule="auto"/>
            </w:pPr>
          </w:p>
        </w:tc>
      </w:tr>
      <w:tr w:rsidR="0094118D" w:rsidRPr="00601D07" w:rsidTr="00F23AE3">
        <w:trPr>
          <w:trHeight w:val="255"/>
        </w:trPr>
        <w:tc>
          <w:tcPr>
            <w:tcW w:w="1716" w:type="dxa"/>
            <w:vMerge/>
            <w:shd w:val="clear" w:color="auto" w:fill="auto"/>
            <w:noWrap/>
            <w:vAlign w:val="bottom"/>
            <w:hideMark/>
          </w:tcPr>
          <w:p w:rsidR="0094118D" w:rsidRPr="00601D07" w:rsidRDefault="0094118D" w:rsidP="006E7081">
            <w:pPr>
              <w:spacing w:line="240" w:lineRule="auto"/>
              <w:rPr>
                <w:rFonts w:ascii="Microsoft Sans Serif" w:eastAsia="Times New Roman" w:hAnsi="Microsoft Sans Serif" w:cs="Microsoft Sans Serif"/>
                <w:b/>
                <w:bCs/>
                <w:sz w:val="20"/>
                <w:szCs w:val="20"/>
                <w:lang w:eastAsia="en-GB"/>
              </w:rPr>
            </w:pPr>
          </w:p>
        </w:tc>
        <w:tc>
          <w:tcPr>
            <w:tcW w:w="1418" w:type="dxa"/>
            <w:shd w:val="clear" w:color="auto" w:fill="auto"/>
            <w:noWrap/>
            <w:vAlign w:val="bottom"/>
            <w:hideMark/>
          </w:tcPr>
          <w:p w:rsidR="0094118D" w:rsidRPr="00601D07" w:rsidRDefault="00632E94" w:rsidP="00F8060B">
            <w:pPr>
              <w:spacing w:after="0" w:line="240" w:lineRule="auto"/>
            </w:pPr>
            <w:r w:rsidRPr="00601D07">
              <w:t>78</w:t>
            </w:r>
            <w:r w:rsidR="00092D7E" w:rsidRPr="00601D07">
              <w:t>.</w:t>
            </w:r>
            <w:r w:rsidRPr="00601D07">
              <w:t>9</w:t>
            </w:r>
            <w:r w:rsidR="0094118D" w:rsidRPr="00601D07">
              <w:t>%</w:t>
            </w:r>
          </w:p>
          <w:p w:rsidR="0094118D" w:rsidRPr="00601D07" w:rsidRDefault="0094118D" w:rsidP="00F8060B">
            <w:pPr>
              <w:spacing w:after="0" w:line="240" w:lineRule="auto"/>
            </w:pPr>
            <w:r w:rsidRPr="00601D07">
              <w:t>[74.7%]</w:t>
            </w:r>
          </w:p>
          <w:p w:rsidR="0094118D" w:rsidRPr="00601D07" w:rsidRDefault="0094118D" w:rsidP="00F8060B">
            <w:pPr>
              <w:spacing w:after="0" w:line="240" w:lineRule="auto"/>
            </w:pPr>
            <w:r w:rsidRPr="00601D07">
              <w:t>(84.8%)</w:t>
            </w:r>
          </w:p>
        </w:tc>
        <w:tc>
          <w:tcPr>
            <w:tcW w:w="1559" w:type="dxa"/>
            <w:shd w:val="clear" w:color="auto" w:fill="auto"/>
            <w:noWrap/>
            <w:vAlign w:val="bottom"/>
            <w:hideMark/>
          </w:tcPr>
          <w:p w:rsidR="0094118D" w:rsidRPr="00601D07" w:rsidRDefault="00632E94" w:rsidP="00F8060B">
            <w:pPr>
              <w:spacing w:after="0" w:line="240" w:lineRule="auto"/>
            </w:pPr>
            <w:r w:rsidRPr="00601D07">
              <w:t>10.3</w:t>
            </w:r>
            <w:r w:rsidR="0094118D" w:rsidRPr="00601D07">
              <w:t>%</w:t>
            </w:r>
          </w:p>
          <w:p w:rsidR="0094118D" w:rsidRPr="00601D07" w:rsidRDefault="0094118D" w:rsidP="00F8060B">
            <w:pPr>
              <w:spacing w:after="0" w:line="240" w:lineRule="auto"/>
            </w:pPr>
            <w:r w:rsidRPr="00601D07">
              <w:t>[13.3%]</w:t>
            </w:r>
          </w:p>
          <w:p w:rsidR="0094118D" w:rsidRPr="00601D07" w:rsidRDefault="0094118D" w:rsidP="00F8060B">
            <w:pPr>
              <w:spacing w:after="0" w:line="240" w:lineRule="auto"/>
            </w:pPr>
            <w:r w:rsidRPr="00601D07">
              <w:t>(12.1%)</w:t>
            </w:r>
          </w:p>
        </w:tc>
        <w:tc>
          <w:tcPr>
            <w:tcW w:w="1418" w:type="dxa"/>
            <w:shd w:val="clear" w:color="auto" w:fill="auto"/>
            <w:noWrap/>
            <w:vAlign w:val="bottom"/>
            <w:hideMark/>
          </w:tcPr>
          <w:p w:rsidR="0094118D" w:rsidRPr="00601D07" w:rsidRDefault="00632E94" w:rsidP="00F8060B">
            <w:pPr>
              <w:spacing w:after="0" w:line="240" w:lineRule="auto"/>
            </w:pPr>
            <w:r w:rsidRPr="00601D07">
              <w:t>3.2</w:t>
            </w:r>
            <w:r w:rsidR="0094118D" w:rsidRPr="00601D07">
              <w:t>%</w:t>
            </w:r>
          </w:p>
          <w:p w:rsidR="0094118D" w:rsidRPr="00601D07" w:rsidRDefault="0094118D" w:rsidP="00F8060B">
            <w:pPr>
              <w:spacing w:after="0" w:line="240" w:lineRule="auto"/>
            </w:pPr>
            <w:r w:rsidRPr="00601D07">
              <w:t>[9.3%]</w:t>
            </w:r>
          </w:p>
          <w:p w:rsidR="0094118D" w:rsidRPr="00601D07" w:rsidRDefault="0094118D" w:rsidP="00F8060B">
            <w:pPr>
              <w:spacing w:after="0" w:line="240" w:lineRule="auto"/>
            </w:pPr>
            <w:r w:rsidRPr="00601D07">
              <w:t>(3.0%)</w:t>
            </w:r>
          </w:p>
        </w:tc>
        <w:tc>
          <w:tcPr>
            <w:tcW w:w="1417" w:type="dxa"/>
            <w:shd w:val="clear" w:color="auto" w:fill="auto"/>
            <w:noWrap/>
            <w:vAlign w:val="bottom"/>
            <w:hideMark/>
          </w:tcPr>
          <w:p w:rsidR="0094118D" w:rsidRPr="00601D07" w:rsidRDefault="00632E94" w:rsidP="00F8060B">
            <w:pPr>
              <w:spacing w:after="0" w:line="240" w:lineRule="auto"/>
            </w:pPr>
            <w:r w:rsidRPr="00601D07">
              <w:t>7.6</w:t>
            </w:r>
            <w:r w:rsidR="0094118D" w:rsidRPr="00601D07">
              <w:t>%</w:t>
            </w:r>
          </w:p>
          <w:p w:rsidR="0094118D" w:rsidRPr="00601D07" w:rsidRDefault="0094118D" w:rsidP="00F8060B">
            <w:pPr>
              <w:spacing w:after="0" w:line="240" w:lineRule="auto"/>
            </w:pPr>
            <w:r w:rsidRPr="00601D07">
              <w:t>[2.7%]</w:t>
            </w:r>
          </w:p>
          <w:p w:rsidR="0094118D" w:rsidRPr="00601D07" w:rsidRDefault="0094118D" w:rsidP="00F8060B">
            <w:pPr>
              <w:spacing w:after="0" w:line="240" w:lineRule="auto"/>
            </w:pPr>
            <w:r w:rsidRPr="00601D07">
              <w:t>(0.0%)</w:t>
            </w:r>
          </w:p>
        </w:tc>
        <w:tc>
          <w:tcPr>
            <w:tcW w:w="1418" w:type="dxa"/>
            <w:vMerge/>
            <w:shd w:val="clear" w:color="auto" w:fill="auto"/>
            <w:noWrap/>
            <w:vAlign w:val="bottom"/>
            <w:hideMark/>
          </w:tcPr>
          <w:p w:rsidR="0094118D" w:rsidRPr="00601D07" w:rsidRDefault="0094118D" w:rsidP="006E7081">
            <w:pPr>
              <w:spacing w:line="240" w:lineRule="auto"/>
              <w:rPr>
                <w:rFonts w:ascii="Microsoft Sans Serif" w:eastAsia="Times New Roman" w:hAnsi="Microsoft Sans Serif" w:cs="Microsoft Sans Serif"/>
                <w:sz w:val="20"/>
                <w:szCs w:val="20"/>
                <w:lang w:eastAsia="en-GB"/>
              </w:rPr>
            </w:pPr>
          </w:p>
        </w:tc>
      </w:tr>
    </w:tbl>
    <w:p w:rsidR="00632E94" w:rsidRPr="00601D07" w:rsidRDefault="00632E94" w:rsidP="00963796"/>
    <w:p w:rsidR="0094118D" w:rsidRPr="00601D07" w:rsidRDefault="00963796" w:rsidP="004803B8">
      <w:pPr>
        <w:jc w:val="both"/>
      </w:pPr>
      <w:r w:rsidRPr="00601D07">
        <w:t xml:space="preserve">For schools with a two-year Key Stage 3, the proportion of respondents reporting </w:t>
      </w:r>
      <w:r w:rsidR="004434AB" w:rsidRPr="00601D07">
        <w:t xml:space="preserve">that </w:t>
      </w:r>
      <w:r w:rsidRPr="00601D07">
        <w:t xml:space="preserve">history </w:t>
      </w:r>
      <w:r w:rsidR="004434AB" w:rsidRPr="00601D07">
        <w:t xml:space="preserve">is taught </w:t>
      </w:r>
      <w:r w:rsidRPr="00601D07">
        <w:t xml:space="preserve">as a discrete subject is lower than the proportion for schools with a three-year Key Stage 3. </w:t>
      </w:r>
      <w:r w:rsidR="00404857" w:rsidRPr="00601D07">
        <w:t xml:space="preserve">This is shown in Table 3, </w:t>
      </w:r>
      <w:r w:rsidR="0094118D" w:rsidRPr="00601D07">
        <w:t xml:space="preserve">which compares the data for schools with a </w:t>
      </w:r>
      <w:r w:rsidR="006E7081" w:rsidRPr="00601D07">
        <w:t>three-year</w:t>
      </w:r>
      <w:r w:rsidR="0094118D" w:rsidRPr="00601D07">
        <w:t xml:space="preserve"> and </w:t>
      </w:r>
      <w:r w:rsidR="006E7081" w:rsidRPr="00601D07">
        <w:t>two-year</w:t>
      </w:r>
      <w:r w:rsidR="0094118D" w:rsidRPr="00601D07">
        <w:t xml:space="preserve"> </w:t>
      </w:r>
      <w:r w:rsidR="00BF0339" w:rsidRPr="00601D07">
        <w:t>Key</w:t>
      </w:r>
      <w:r w:rsidR="00F8060B" w:rsidRPr="00601D07">
        <w:t xml:space="preserve"> S</w:t>
      </w:r>
      <w:r w:rsidR="00BF0339" w:rsidRPr="00601D07">
        <w:t>tage</w:t>
      </w:r>
      <w:r w:rsidR="00F8060B" w:rsidRPr="00601D07">
        <w:t xml:space="preserve"> 3</w:t>
      </w:r>
      <w:r w:rsidR="0094118D" w:rsidRPr="00601D07">
        <w:t>.</w:t>
      </w:r>
    </w:p>
    <w:p w:rsidR="004803B8" w:rsidRDefault="004803B8" w:rsidP="00963796">
      <w:pPr>
        <w:rPr>
          <w:i/>
        </w:rPr>
      </w:pPr>
    </w:p>
    <w:p w:rsidR="004803B8" w:rsidRDefault="00092D7E" w:rsidP="004803B8">
      <w:pPr>
        <w:spacing w:after="0" w:line="240" w:lineRule="auto"/>
        <w:jc w:val="both"/>
        <w:rPr>
          <w:i/>
        </w:rPr>
      </w:pPr>
      <w:r w:rsidRPr="00601D07">
        <w:rPr>
          <w:i/>
        </w:rPr>
        <w:lastRenderedPageBreak/>
        <w:t>Table 3: The inclusion of history within the Year 7 curriculum in 2013</w:t>
      </w:r>
      <w:r w:rsidR="006E7081" w:rsidRPr="00601D07">
        <w:rPr>
          <w:i/>
        </w:rPr>
        <w:t xml:space="preserve"> </w:t>
      </w:r>
      <w:r w:rsidRPr="00601D07">
        <w:rPr>
          <w:i/>
        </w:rPr>
        <w:t xml:space="preserve">comparing schools with a </w:t>
      </w:r>
      <w:r w:rsidR="006E7081" w:rsidRPr="00601D07">
        <w:rPr>
          <w:i/>
        </w:rPr>
        <w:t>three-year</w:t>
      </w:r>
      <w:r w:rsidRPr="00601D07">
        <w:rPr>
          <w:i/>
        </w:rPr>
        <w:t xml:space="preserve"> and </w:t>
      </w:r>
      <w:r w:rsidR="00DE0105" w:rsidRPr="00601D07">
        <w:rPr>
          <w:i/>
        </w:rPr>
        <w:t xml:space="preserve">a </w:t>
      </w:r>
      <w:r w:rsidR="006E7081" w:rsidRPr="00601D07">
        <w:rPr>
          <w:i/>
        </w:rPr>
        <w:t>two-year</w:t>
      </w:r>
      <w:r w:rsidRPr="00601D07">
        <w:rPr>
          <w:i/>
        </w:rPr>
        <w:t xml:space="preserve"> </w:t>
      </w:r>
      <w:r w:rsidR="00F8060B" w:rsidRPr="00601D07">
        <w:rPr>
          <w:i/>
        </w:rPr>
        <w:t>K</w:t>
      </w:r>
      <w:r w:rsidR="00BF0339" w:rsidRPr="00601D07">
        <w:rPr>
          <w:i/>
        </w:rPr>
        <w:t xml:space="preserve">ey Stage 3 </w:t>
      </w:r>
    </w:p>
    <w:p w:rsidR="00092D7E" w:rsidRPr="00601D07" w:rsidRDefault="004434AB" w:rsidP="004803B8">
      <w:pPr>
        <w:spacing w:line="240" w:lineRule="auto"/>
      </w:pPr>
      <w:r w:rsidRPr="00601D07">
        <w:t>T</w:t>
      </w:r>
      <w:r w:rsidR="00BF0339" w:rsidRPr="00601D07">
        <w:t xml:space="preserve">he </w:t>
      </w:r>
      <w:r w:rsidRPr="00601D07">
        <w:t xml:space="preserve">figures for </w:t>
      </w:r>
      <w:r w:rsidR="00BF0339" w:rsidRPr="00601D07">
        <w:t xml:space="preserve">schools offering a </w:t>
      </w:r>
      <w:r w:rsidR="006E7081" w:rsidRPr="00601D07">
        <w:t>two-year</w:t>
      </w:r>
      <w:r w:rsidR="00092D7E" w:rsidRPr="00601D07">
        <w:t xml:space="preserve"> </w:t>
      </w:r>
      <w:r w:rsidR="00F8060B" w:rsidRPr="00601D07">
        <w:t>Key Stage 3</w:t>
      </w:r>
      <w:r w:rsidR="00FC171E" w:rsidRPr="00601D07">
        <w:t xml:space="preserve"> are </w:t>
      </w:r>
      <w:r w:rsidR="00092D7E" w:rsidRPr="00601D07">
        <w:t xml:space="preserve">presented in </w:t>
      </w:r>
      <w:r w:rsidR="00BF0339" w:rsidRPr="00601D07">
        <w:t xml:space="preserve">the top row in each case, while the figures for schools offering a </w:t>
      </w:r>
      <w:r w:rsidRPr="00601D07">
        <w:t>(</w:t>
      </w:r>
      <w:r w:rsidR="00BF0339" w:rsidRPr="00601D07">
        <w:t>three</w:t>
      </w:r>
      <w:r w:rsidRPr="00601D07">
        <w:t>-</w:t>
      </w:r>
      <w:r w:rsidR="00BF0339" w:rsidRPr="00601D07">
        <w:t xml:space="preserve">year </w:t>
      </w:r>
      <w:r w:rsidR="00F8060B" w:rsidRPr="00601D07">
        <w:t>Key Stage 3</w:t>
      </w:r>
      <w:r w:rsidRPr="00601D07">
        <w:t>)</w:t>
      </w:r>
      <w:r w:rsidR="00092D7E" w:rsidRPr="00601D07">
        <w:t xml:space="preserve"> </w:t>
      </w:r>
      <w:r w:rsidRPr="00601D07">
        <w:t>are shown below in brackets.</w:t>
      </w:r>
      <w:r w:rsidR="00BF0339" w:rsidRPr="00601D07">
        <w:t xml:space="preserve">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340"/>
        <w:gridCol w:w="1437"/>
        <w:gridCol w:w="1437"/>
        <w:gridCol w:w="1437"/>
        <w:gridCol w:w="1437"/>
      </w:tblGrid>
      <w:tr w:rsidR="0094118D" w:rsidRPr="00601D07" w:rsidTr="00F8060B">
        <w:trPr>
          <w:trHeight w:val="255"/>
        </w:trPr>
        <w:tc>
          <w:tcPr>
            <w:tcW w:w="1716" w:type="dxa"/>
            <w:shd w:val="clear" w:color="auto" w:fill="auto"/>
            <w:noWrap/>
            <w:vAlign w:val="bottom"/>
            <w:hideMark/>
          </w:tcPr>
          <w:p w:rsidR="0094118D" w:rsidRPr="00601D07" w:rsidRDefault="0094118D" w:rsidP="006E7081">
            <w:pPr>
              <w:spacing w:after="0" w:line="240" w:lineRule="auto"/>
              <w:rPr>
                <w:b/>
              </w:rPr>
            </w:pPr>
          </w:p>
        </w:tc>
        <w:tc>
          <w:tcPr>
            <w:tcW w:w="1340" w:type="dxa"/>
            <w:shd w:val="clear" w:color="auto" w:fill="auto"/>
            <w:noWrap/>
            <w:vAlign w:val="bottom"/>
            <w:hideMark/>
          </w:tcPr>
          <w:p w:rsidR="0094118D" w:rsidRPr="00601D07" w:rsidRDefault="0094118D" w:rsidP="006E7081">
            <w:pPr>
              <w:spacing w:after="0" w:line="240" w:lineRule="auto"/>
              <w:rPr>
                <w:b/>
              </w:rPr>
            </w:pPr>
            <w:r w:rsidRPr="00601D07">
              <w:rPr>
                <w:b/>
              </w:rPr>
              <w:t>As a discrete subject</w:t>
            </w:r>
          </w:p>
          <w:p w:rsidR="0094118D" w:rsidRPr="00601D07" w:rsidRDefault="0094118D" w:rsidP="006E7081">
            <w:pPr>
              <w:spacing w:after="0" w:line="240" w:lineRule="auto"/>
              <w:rPr>
                <w:b/>
              </w:rPr>
            </w:pPr>
          </w:p>
        </w:tc>
        <w:tc>
          <w:tcPr>
            <w:tcW w:w="1437" w:type="dxa"/>
            <w:shd w:val="clear" w:color="auto" w:fill="auto"/>
            <w:noWrap/>
            <w:vAlign w:val="bottom"/>
            <w:hideMark/>
          </w:tcPr>
          <w:p w:rsidR="0094118D" w:rsidRPr="00601D07" w:rsidRDefault="0094118D" w:rsidP="006E7081">
            <w:pPr>
              <w:spacing w:after="0" w:line="240" w:lineRule="auto"/>
              <w:rPr>
                <w:b/>
              </w:rPr>
            </w:pPr>
            <w:r w:rsidRPr="00601D07">
              <w:rPr>
                <w:b/>
              </w:rPr>
              <w:t xml:space="preserve">As a distinct subject within humanities </w:t>
            </w:r>
          </w:p>
        </w:tc>
        <w:tc>
          <w:tcPr>
            <w:tcW w:w="1437" w:type="dxa"/>
            <w:shd w:val="clear" w:color="auto" w:fill="auto"/>
            <w:noWrap/>
            <w:vAlign w:val="bottom"/>
            <w:hideMark/>
          </w:tcPr>
          <w:p w:rsidR="0094118D" w:rsidRPr="00601D07" w:rsidRDefault="0094118D" w:rsidP="006E7081">
            <w:pPr>
              <w:spacing w:after="0" w:line="240" w:lineRule="auto"/>
              <w:rPr>
                <w:b/>
              </w:rPr>
            </w:pPr>
            <w:r w:rsidRPr="00601D07">
              <w:rPr>
                <w:b/>
              </w:rPr>
              <w:t>Within integrated humanities</w:t>
            </w:r>
          </w:p>
        </w:tc>
        <w:tc>
          <w:tcPr>
            <w:tcW w:w="1437" w:type="dxa"/>
            <w:shd w:val="clear" w:color="auto" w:fill="auto"/>
            <w:noWrap/>
            <w:vAlign w:val="bottom"/>
            <w:hideMark/>
          </w:tcPr>
          <w:p w:rsidR="0094118D" w:rsidRPr="00601D07" w:rsidRDefault="0094118D" w:rsidP="006E7081">
            <w:pPr>
              <w:spacing w:after="0" w:line="240" w:lineRule="auto"/>
              <w:rPr>
                <w:b/>
              </w:rPr>
            </w:pPr>
            <w:r w:rsidRPr="00601D07">
              <w:rPr>
                <w:b/>
              </w:rPr>
              <w:t>Other</w:t>
            </w:r>
          </w:p>
          <w:p w:rsidR="0094118D" w:rsidRPr="00601D07" w:rsidRDefault="0094118D" w:rsidP="006E7081">
            <w:pPr>
              <w:spacing w:after="0" w:line="240" w:lineRule="auto"/>
              <w:rPr>
                <w:b/>
              </w:rPr>
            </w:pPr>
          </w:p>
          <w:p w:rsidR="0094118D" w:rsidRPr="00601D07" w:rsidRDefault="0094118D" w:rsidP="006E7081">
            <w:pPr>
              <w:spacing w:after="0" w:line="240" w:lineRule="auto"/>
              <w:rPr>
                <w:b/>
              </w:rPr>
            </w:pPr>
          </w:p>
        </w:tc>
        <w:tc>
          <w:tcPr>
            <w:tcW w:w="1437" w:type="dxa"/>
            <w:shd w:val="clear" w:color="auto" w:fill="auto"/>
            <w:noWrap/>
            <w:vAlign w:val="bottom"/>
            <w:hideMark/>
          </w:tcPr>
          <w:p w:rsidR="0094118D" w:rsidRPr="00601D07" w:rsidRDefault="0094118D" w:rsidP="006E7081">
            <w:pPr>
              <w:spacing w:after="0" w:line="240" w:lineRule="auto"/>
              <w:rPr>
                <w:b/>
              </w:rPr>
            </w:pPr>
            <w:r w:rsidRPr="00601D07">
              <w:rPr>
                <w:b/>
              </w:rPr>
              <w:t>Total respondents</w:t>
            </w:r>
          </w:p>
          <w:p w:rsidR="0094118D" w:rsidRPr="00601D07" w:rsidRDefault="0094118D" w:rsidP="006E7081">
            <w:pPr>
              <w:spacing w:after="0" w:line="240" w:lineRule="auto"/>
              <w:rPr>
                <w:b/>
              </w:rPr>
            </w:pPr>
          </w:p>
        </w:tc>
      </w:tr>
      <w:tr w:rsidR="0094118D" w:rsidRPr="00601D07" w:rsidTr="00F8060B">
        <w:trPr>
          <w:trHeight w:val="255"/>
        </w:trPr>
        <w:tc>
          <w:tcPr>
            <w:tcW w:w="1716" w:type="dxa"/>
            <w:vMerge w:val="restart"/>
            <w:shd w:val="clear" w:color="auto" w:fill="auto"/>
            <w:noWrap/>
            <w:vAlign w:val="bottom"/>
            <w:hideMark/>
          </w:tcPr>
          <w:p w:rsidR="0094118D" w:rsidRPr="00601D07" w:rsidRDefault="0094118D" w:rsidP="006E7081">
            <w:pPr>
              <w:spacing w:after="0" w:line="240" w:lineRule="auto"/>
              <w:rPr>
                <w:b/>
              </w:rPr>
            </w:pPr>
            <w:r w:rsidRPr="00601D07">
              <w:rPr>
                <w:b/>
              </w:rPr>
              <w:t xml:space="preserve">All schools </w:t>
            </w:r>
          </w:p>
          <w:p w:rsidR="0094118D" w:rsidRPr="00601D07" w:rsidRDefault="0094118D" w:rsidP="006E7081">
            <w:pPr>
              <w:spacing w:after="0" w:line="240" w:lineRule="auto"/>
              <w:rPr>
                <w:b/>
              </w:rPr>
            </w:pPr>
          </w:p>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56</w:t>
            </w:r>
          </w:p>
          <w:p w:rsidR="0094118D" w:rsidRPr="00601D07" w:rsidRDefault="00092D7E" w:rsidP="00092D7E">
            <w:pPr>
              <w:spacing w:after="0" w:line="240" w:lineRule="auto"/>
            </w:pPr>
            <w:r w:rsidRPr="00601D07">
              <w:t>(</w:t>
            </w:r>
            <w:r w:rsidR="0094118D" w:rsidRPr="00601D07">
              <w:t>312</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13</w:t>
            </w:r>
          </w:p>
          <w:p w:rsidR="0094118D" w:rsidRPr="00601D07" w:rsidRDefault="00092D7E" w:rsidP="00092D7E">
            <w:pPr>
              <w:spacing w:after="0" w:line="240" w:lineRule="auto"/>
            </w:pPr>
            <w:r w:rsidRPr="00601D07">
              <w:t>(</w:t>
            </w:r>
            <w:r w:rsidR="0094118D" w:rsidRPr="00601D07">
              <w:t>31</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5</w:t>
            </w:r>
          </w:p>
          <w:p w:rsidR="0094118D" w:rsidRPr="00601D07" w:rsidRDefault="00092D7E" w:rsidP="00092D7E">
            <w:pPr>
              <w:spacing w:after="0" w:line="240" w:lineRule="auto"/>
            </w:pPr>
            <w:r w:rsidRPr="00601D07">
              <w:t>(</w:t>
            </w:r>
            <w:r w:rsidR="0094118D" w:rsidRPr="00601D07">
              <w:t>16</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6</w:t>
            </w:r>
          </w:p>
          <w:p w:rsidR="0094118D" w:rsidRPr="00601D07" w:rsidRDefault="00092D7E" w:rsidP="00092D7E">
            <w:pPr>
              <w:spacing w:after="0" w:line="240" w:lineRule="auto"/>
            </w:pPr>
            <w:r w:rsidRPr="00601D07">
              <w:t>(</w:t>
            </w:r>
            <w:r w:rsidR="0094118D" w:rsidRPr="00601D07">
              <w:t>9</w:t>
            </w:r>
            <w:r w:rsidRPr="00601D07">
              <w:t>)</w:t>
            </w:r>
          </w:p>
        </w:tc>
        <w:tc>
          <w:tcPr>
            <w:tcW w:w="1437" w:type="dxa"/>
            <w:vMerge w:val="restart"/>
            <w:shd w:val="clear" w:color="auto" w:fill="auto"/>
            <w:noWrap/>
            <w:vAlign w:val="bottom"/>
            <w:hideMark/>
          </w:tcPr>
          <w:p w:rsidR="0094118D" w:rsidRPr="00601D07" w:rsidRDefault="00092D7E" w:rsidP="00092D7E">
            <w:pPr>
              <w:spacing w:after="0" w:line="240" w:lineRule="auto"/>
            </w:pPr>
            <w:r w:rsidRPr="00601D07">
              <w:t>80</w:t>
            </w:r>
          </w:p>
          <w:p w:rsidR="0094118D" w:rsidRPr="00601D07" w:rsidRDefault="00092D7E" w:rsidP="00092D7E">
            <w:pPr>
              <w:spacing w:after="0" w:line="240" w:lineRule="auto"/>
            </w:pPr>
            <w:r w:rsidRPr="00601D07">
              <w:t>(</w:t>
            </w:r>
            <w:r w:rsidR="0094118D" w:rsidRPr="00601D07">
              <w:t>368</w:t>
            </w:r>
            <w:r w:rsidRPr="00601D07">
              <w:t>)</w:t>
            </w:r>
          </w:p>
          <w:p w:rsidR="0094118D" w:rsidRPr="00601D07" w:rsidRDefault="0094118D" w:rsidP="00092D7E">
            <w:pPr>
              <w:spacing w:after="0" w:line="240" w:lineRule="auto"/>
            </w:pPr>
          </w:p>
        </w:tc>
      </w:tr>
      <w:tr w:rsidR="0094118D" w:rsidRPr="00601D07" w:rsidTr="00F8060B">
        <w:trPr>
          <w:trHeight w:val="255"/>
        </w:trPr>
        <w:tc>
          <w:tcPr>
            <w:tcW w:w="1716" w:type="dxa"/>
            <w:vMerge/>
            <w:shd w:val="clear" w:color="auto" w:fill="auto"/>
            <w:noWrap/>
            <w:vAlign w:val="bottom"/>
            <w:hideMark/>
          </w:tcPr>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70.0%</w:t>
            </w:r>
          </w:p>
          <w:p w:rsidR="0094118D" w:rsidRPr="00601D07" w:rsidRDefault="00092D7E" w:rsidP="00092D7E">
            <w:pPr>
              <w:spacing w:after="0" w:line="240" w:lineRule="auto"/>
            </w:pPr>
            <w:r w:rsidRPr="00601D07">
              <w:t>(</w:t>
            </w:r>
            <w:r w:rsidR="0094118D" w:rsidRPr="00601D07">
              <w:t>84.8%</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16.3%</w:t>
            </w:r>
          </w:p>
          <w:p w:rsidR="0094118D" w:rsidRPr="00601D07" w:rsidRDefault="00092D7E" w:rsidP="00092D7E">
            <w:pPr>
              <w:spacing w:after="0" w:line="240" w:lineRule="auto"/>
            </w:pPr>
            <w:r w:rsidRPr="00601D07">
              <w:t>(</w:t>
            </w:r>
            <w:r w:rsidR="0094118D" w:rsidRPr="00601D07">
              <w:t>8.4%</w:t>
            </w:r>
            <w:r w:rsidRPr="00601D07">
              <w:t xml:space="preserve">) </w:t>
            </w:r>
          </w:p>
        </w:tc>
        <w:tc>
          <w:tcPr>
            <w:tcW w:w="1437" w:type="dxa"/>
            <w:shd w:val="clear" w:color="auto" w:fill="auto"/>
            <w:noWrap/>
            <w:vAlign w:val="bottom"/>
            <w:hideMark/>
          </w:tcPr>
          <w:p w:rsidR="00092D7E" w:rsidRPr="00601D07" w:rsidRDefault="00092D7E" w:rsidP="00092D7E">
            <w:pPr>
              <w:spacing w:after="0" w:line="240" w:lineRule="auto"/>
            </w:pPr>
            <w:r w:rsidRPr="00601D07">
              <w:t>6.3%</w:t>
            </w:r>
          </w:p>
          <w:p w:rsidR="0094118D" w:rsidRPr="00601D07" w:rsidRDefault="00092D7E" w:rsidP="00092D7E">
            <w:pPr>
              <w:spacing w:after="0" w:line="240" w:lineRule="auto"/>
            </w:pPr>
            <w:r w:rsidRPr="00601D07">
              <w:t>(</w:t>
            </w:r>
            <w:r w:rsidR="0094118D" w:rsidRPr="00601D07">
              <w:t>4.3%</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7.5%</w:t>
            </w:r>
          </w:p>
          <w:p w:rsidR="0094118D" w:rsidRPr="00601D07" w:rsidRDefault="00092D7E" w:rsidP="00092D7E">
            <w:pPr>
              <w:spacing w:after="0" w:line="240" w:lineRule="auto"/>
            </w:pPr>
            <w:r w:rsidRPr="00601D07">
              <w:t>(</w:t>
            </w:r>
            <w:r w:rsidR="0094118D" w:rsidRPr="00601D07">
              <w:t>2.4%</w:t>
            </w:r>
            <w:r w:rsidRPr="00601D07">
              <w:t>)</w:t>
            </w:r>
          </w:p>
        </w:tc>
        <w:tc>
          <w:tcPr>
            <w:tcW w:w="1437" w:type="dxa"/>
            <w:vMerge/>
            <w:shd w:val="clear" w:color="auto" w:fill="auto"/>
            <w:noWrap/>
            <w:vAlign w:val="bottom"/>
            <w:hideMark/>
          </w:tcPr>
          <w:p w:rsidR="0094118D" w:rsidRPr="00601D07" w:rsidRDefault="0094118D" w:rsidP="00092D7E">
            <w:pPr>
              <w:spacing w:after="0" w:line="240" w:lineRule="auto"/>
            </w:pPr>
          </w:p>
        </w:tc>
      </w:tr>
      <w:tr w:rsidR="0094118D" w:rsidRPr="00601D07" w:rsidTr="00F8060B">
        <w:trPr>
          <w:trHeight w:val="255"/>
        </w:trPr>
        <w:tc>
          <w:tcPr>
            <w:tcW w:w="1716" w:type="dxa"/>
            <w:vMerge w:val="restart"/>
            <w:shd w:val="clear" w:color="auto" w:fill="auto"/>
            <w:noWrap/>
            <w:vAlign w:val="bottom"/>
            <w:hideMark/>
          </w:tcPr>
          <w:p w:rsidR="0094118D" w:rsidRPr="00601D07" w:rsidRDefault="0094118D" w:rsidP="006E7081">
            <w:pPr>
              <w:spacing w:after="0" w:line="240" w:lineRule="auto"/>
              <w:rPr>
                <w:b/>
              </w:rPr>
            </w:pPr>
            <w:r w:rsidRPr="00601D07">
              <w:rPr>
                <w:b/>
              </w:rPr>
              <w:t>Comprehensive</w:t>
            </w:r>
          </w:p>
          <w:p w:rsidR="0094118D" w:rsidRPr="00601D07" w:rsidRDefault="0094118D" w:rsidP="006E7081">
            <w:pPr>
              <w:spacing w:after="0" w:line="240" w:lineRule="auto"/>
              <w:rPr>
                <w:b/>
              </w:rPr>
            </w:pPr>
          </w:p>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23</w:t>
            </w:r>
          </w:p>
          <w:p w:rsidR="0094118D" w:rsidRPr="00601D07" w:rsidRDefault="00092D7E" w:rsidP="00092D7E">
            <w:pPr>
              <w:spacing w:after="0" w:line="240" w:lineRule="auto"/>
            </w:pPr>
            <w:r w:rsidRPr="00601D07">
              <w:t>(</w:t>
            </w:r>
            <w:r w:rsidR="0094118D" w:rsidRPr="00601D07">
              <w:t>142</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5</w:t>
            </w:r>
          </w:p>
          <w:p w:rsidR="0094118D" w:rsidRPr="00601D07" w:rsidRDefault="00092D7E" w:rsidP="00092D7E">
            <w:pPr>
              <w:spacing w:after="0" w:line="240" w:lineRule="auto"/>
            </w:pPr>
            <w:r w:rsidRPr="00601D07">
              <w:t>(</w:t>
            </w:r>
            <w:r w:rsidR="0094118D" w:rsidRPr="00601D07">
              <w:t>16</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3</w:t>
            </w:r>
          </w:p>
          <w:p w:rsidR="0094118D" w:rsidRPr="00601D07" w:rsidRDefault="00092D7E" w:rsidP="00092D7E">
            <w:pPr>
              <w:spacing w:after="0" w:line="240" w:lineRule="auto"/>
            </w:pPr>
            <w:r w:rsidRPr="00601D07">
              <w:t>(</w:t>
            </w:r>
            <w:r w:rsidR="0094118D" w:rsidRPr="00601D07">
              <w:t>9</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2</w:t>
            </w:r>
          </w:p>
          <w:p w:rsidR="0094118D" w:rsidRPr="00601D07" w:rsidRDefault="00092D7E" w:rsidP="00092D7E">
            <w:pPr>
              <w:spacing w:after="0" w:line="240" w:lineRule="auto"/>
            </w:pPr>
            <w:r w:rsidRPr="00601D07">
              <w:t>(</w:t>
            </w:r>
            <w:r w:rsidR="0094118D" w:rsidRPr="00601D07">
              <w:t>5</w:t>
            </w:r>
            <w:r w:rsidRPr="00601D07">
              <w:t>)</w:t>
            </w:r>
          </w:p>
        </w:tc>
        <w:tc>
          <w:tcPr>
            <w:tcW w:w="1437" w:type="dxa"/>
            <w:vMerge w:val="restart"/>
            <w:shd w:val="clear" w:color="auto" w:fill="auto"/>
            <w:noWrap/>
            <w:vAlign w:val="bottom"/>
            <w:hideMark/>
          </w:tcPr>
          <w:p w:rsidR="00092D7E" w:rsidRPr="00601D07" w:rsidRDefault="00092D7E" w:rsidP="00092D7E">
            <w:pPr>
              <w:spacing w:after="0" w:line="240" w:lineRule="auto"/>
            </w:pPr>
            <w:r w:rsidRPr="00601D07">
              <w:t>33</w:t>
            </w:r>
          </w:p>
          <w:p w:rsidR="0094118D" w:rsidRPr="00601D07" w:rsidRDefault="0094118D" w:rsidP="00092D7E">
            <w:pPr>
              <w:spacing w:after="0" w:line="240" w:lineRule="auto"/>
            </w:pPr>
            <w:r w:rsidRPr="00601D07">
              <w:t>172</w:t>
            </w:r>
          </w:p>
          <w:p w:rsidR="0094118D" w:rsidRPr="00601D07" w:rsidRDefault="0094118D" w:rsidP="00092D7E">
            <w:pPr>
              <w:spacing w:after="0" w:line="240" w:lineRule="auto"/>
            </w:pPr>
          </w:p>
        </w:tc>
      </w:tr>
      <w:tr w:rsidR="0094118D" w:rsidRPr="00601D07" w:rsidTr="00F8060B">
        <w:trPr>
          <w:trHeight w:val="255"/>
        </w:trPr>
        <w:tc>
          <w:tcPr>
            <w:tcW w:w="1716" w:type="dxa"/>
            <w:vMerge/>
            <w:shd w:val="clear" w:color="auto" w:fill="auto"/>
            <w:noWrap/>
            <w:vAlign w:val="bottom"/>
            <w:hideMark/>
          </w:tcPr>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69.7%</w:t>
            </w:r>
          </w:p>
          <w:p w:rsidR="0094118D" w:rsidRPr="00601D07" w:rsidRDefault="00092D7E" w:rsidP="00092D7E">
            <w:pPr>
              <w:spacing w:after="0" w:line="240" w:lineRule="auto"/>
            </w:pPr>
            <w:r w:rsidRPr="00601D07">
              <w:t>(</w:t>
            </w:r>
            <w:r w:rsidR="0094118D" w:rsidRPr="00601D07">
              <w:t>82.6%</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15.2%</w:t>
            </w:r>
          </w:p>
          <w:p w:rsidR="0094118D" w:rsidRPr="00601D07" w:rsidRDefault="00092D7E" w:rsidP="00092D7E">
            <w:pPr>
              <w:spacing w:after="0" w:line="240" w:lineRule="auto"/>
            </w:pPr>
            <w:r w:rsidRPr="00601D07">
              <w:t>(</w:t>
            </w:r>
            <w:r w:rsidR="0094118D" w:rsidRPr="00601D07">
              <w:t>9.3%</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9.1%</w:t>
            </w:r>
          </w:p>
          <w:p w:rsidR="0094118D" w:rsidRPr="00601D07" w:rsidRDefault="00092D7E" w:rsidP="00092D7E">
            <w:pPr>
              <w:spacing w:after="0" w:line="240" w:lineRule="auto"/>
            </w:pPr>
            <w:r w:rsidRPr="00601D07">
              <w:t>(</w:t>
            </w:r>
            <w:r w:rsidR="0094118D" w:rsidRPr="00601D07">
              <w:t>5.2%</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6.1%</w:t>
            </w:r>
          </w:p>
          <w:p w:rsidR="0094118D" w:rsidRPr="00601D07" w:rsidRDefault="00092D7E" w:rsidP="00092D7E">
            <w:pPr>
              <w:spacing w:after="0" w:line="240" w:lineRule="auto"/>
            </w:pPr>
            <w:r w:rsidRPr="00601D07">
              <w:t>(</w:t>
            </w:r>
            <w:r w:rsidR="0094118D" w:rsidRPr="00601D07">
              <w:t>2.9%</w:t>
            </w:r>
            <w:r w:rsidRPr="00601D07">
              <w:t>)</w:t>
            </w:r>
          </w:p>
        </w:tc>
        <w:tc>
          <w:tcPr>
            <w:tcW w:w="1437" w:type="dxa"/>
            <w:vMerge/>
            <w:shd w:val="clear" w:color="auto" w:fill="auto"/>
            <w:noWrap/>
            <w:vAlign w:val="bottom"/>
            <w:hideMark/>
          </w:tcPr>
          <w:p w:rsidR="0094118D" w:rsidRPr="00601D07" w:rsidRDefault="0094118D" w:rsidP="00092D7E">
            <w:pPr>
              <w:spacing w:after="0" w:line="240" w:lineRule="auto"/>
            </w:pPr>
          </w:p>
        </w:tc>
      </w:tr>
      <w:tr w:rsidR="0094118D" w:rsidRPr="00601D07" w:rsidTr="00F8060B">
        <w:trPr>
          <w:trHeight w:val="255"/>
        </w:trPr>
        <w:tc>
          <w:tcPr>
            <w:tcW w:w="1716" w:type="dxa"/>
            <w:vMerge w:val="restart"/>
            <w:shd w:val="clear" w:color="auto" w:fill="auto"/>
            <w:noWrap/>
            <w:vAlign w:val="bottom"/>
            <w:hideMark/>
          </w:tcPr>
          <w:p w:rsidR="0094118D" w:rsidRPr="00601D07" w:rsidRDefault="0094118D" w:rsidP="006E7081">
            <w:pPr>
              <w:spacing w:after="0" w:line="240" w:lineRule="auto"/>
              <w:rPr>
                <w:b/>
              </w:rPr>
            </w:pPr>
            <w:r w:rsidRPr="00601D07">
              <w:rPr>
                <w:b/>
              </w:rPr>
              <w:t>Grammar</w:t>
            </w:r>
          </w:p>
          <w:p w:rsidR="0094118D" w:rsidRPr="00601D07" w:rsidRDefault="0094118D" w:rsidP="006E7081">
            <w:pPr>
              <w:spacing w:after="0" w:line="240" w:lineRule="auto"/>
              <w:rPr>
                <w:b/>
              </w:rPr>
            </w:pPr>
          </w:p>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2</w:t>
            </w:r>
          </w:p>
          <w:p w:rsidR="0094118D" w:rsidRPr="00601D07" w:rsidRDefault="00092D7E" w:rsidP="00092D7E">
            <w:pPr>
              <w:spacing w:after="0" w:line="240" w:lineRule="auto"/>
            </w:pPr>
            <w:r w:rsidRPr="00601D07">
              <w:t>(</w:t>
            </w:r>
            <w:r w:rsidR="0094118D" w:rsidRPr="00601D07">
              <w:t>6</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0</w:t>
            </w:r>
          </w:p>
          <w:p w:rsidR="0094118D" w:rsidRPr="00601D07" w:rsidRDefault="00092D7E" w:rsidP="00092D7E">
            <w:pPr>
              <w:spacing w:after="0" w:line="240" w:lineRule="auto"/>
            </w:pPr>
            <w:r w:rsidRPr="00601D07">
              <w:t>(</w:t>
            </w:r>
            <w:r w:rsidR="0094118D" w:rsidRPr="00601D07">
              <w:t>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0</w:t>
            </w:r>
          </w:p>
          <w:p w:rsidR="0094118D" w:rsidRPr="00601D07" w:rsidRDefault="00092D7E" w:rsidP="00092D7E">
            <w:pPr>
              <w:spacing w:after="0" w:line="240" w:lineRule="auto"/>
            </w:pPr>
            <w:r w:rsidRPr="00601D07">
              <w:t>(</w:t>
            </w:r>
            <w:r w:rsidR="0094118D" w:rsidRPr="00601D07">
              <w:t>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0</w:t>
            </w:r>
          </w:p>
          <w:p w:rsidR="0094118D" w:rsidRPr="00601D07" w:rsidRDefault="00092D7E" w:rsidP="00092D7E">
            <w:pPr>
              <w:spacing w:after="0" w:line="240" w:lineRule="auto"/>
            </w:pPr>
            <w:r w:rsidRPr="00601D07">
              <w:t>(</w:t>
            </w:r>
            <w:r w:rsidR="0094118D" w:rsidRPr="00601D07">
              <w:t>0</w:t>
            </w:r>
            <w:r w:rsidRPr="00601D07">
              <w:t>)</w:t>
            </w:r>
          </w:p>
        </w:tc>
        <w:tc>
          <w:tcPr>
            <w:tcW w:w="1437" w:type="dxa"/>
            <w:vMerge w:val="restart"/>
            <w:shd w:val="clear" w:color="auto" w:fill="auto"/>
            <w:noWrap/>
            <w:vAlign w:val="bottom"/>
            <w:hideMark/>
          </w:tcPr>
          <w:p w:rsidR="00092D7E" w:rsidRPr="00601D07" w:rsidRDefault="00092D7E" w:rsidP="00092D7E">
            <w:pPr>
              <w:spacing w:after="0" w:line="240" w:lineRule="auto"/>
            </w:pPr>
            <w:r w:rsidRPr="00601D07">
              <w:t>2</w:t>
            </w:r>
          </w:p>
          <w:p w:rsidR="0094118D" w:rsidRPr="00601D07" w:rsidRDefault="00092D7E" w:rsidP="00092D7E">
            <w:pPr>
              <w:spacing w:after="0" w:line="240" w:lineRule="auto"/>
            </w:pPr>
            <w:r w:rsidRPr="00601D07">
              <w:t>(</w:t>
            </w:r>
            <w:r w:rsidR="0094118D" w:rsidRPr="00601D07">
              <w:t>6</w:t>
            </w:r>
            <w:r w:rsidRPr="00601D07">
              <w:t>)</w:t>
            </w:r>
          </w:p>
          <w:p w:rsidR="0094118D" w:rsidRPr="00601D07" w:rsidRDefault="0094118D" w:rsidP="00092D7E">
            <w:pPr>
              <w:spacing w:after="0" w:line="240" w:lineRule="auto"/>
            </w:pPr>
          </w:p>
        </w:tc>
      </w:tr>
      <w:tr w:rsidR="0094118D" w:rsidRPr="00601D07" w:rsidTr="00F8060B">
        <w:trPr>
          <w:trHeight w:val="255"/>
        </w:trPr>
        <w:tc>
          <w:tcPr>
            <w:tcW w:w="1716" w:type="dxa"/>
            <w:vMerge/>
            <w:shd w:val="clear" w:color="auto" w:fill="auto"/>
            <w:noWrap/>
            <w:vAlign w:val="bottom"/>
            <w:hideMark/>
          </w:tcPr>
          <w:p w:rsidR="0094118D" w:rsidRPr="00601D07" w:rsidRDefault="0094118D" w:rsidP="006E7081">
            <w:pPr>
              <w:spacing w:after="0" w:line="240" w:lineRule="auto"/>
              <w:rPr>
                <w:b/>
              </w:rPr>
            </w:pPr>
          </w:p>
        </w:tc>
        <w:tc>
          <w:tcPr>
            <w:tcW w:w="1340" w:type="dxa"/>
            <w:shd w:val="clear" w:color="auto" w:fill="auto"/>
            <w:noWrap/>
            <w:vAlign w:val="bottom"/>
            <w:hideMark/>
          </w:tcPr>
          <w:p w:rsidR="0094118D" w:rsidRPr="00601D07" w:rsidRDefault="0094118D" w:rsidP="00092D7E">
            <w:pPr>
              <w:spacing w:after="0" w:line="240" w:lineRule="auto"/>
            </w:pPr>
            <w:r w:rsidRPr="00601D07">
              <w:t>100</w:t>
            </w:r>
            <w:r w:rsidR="00092D7E" w:rsidRPr="00601D07">
              <w:t>.0</w:t>
            </w:r>
            <w:r w:rsidRPr="00601D07">
              <w:t>%</w:t>
            </w:r>
          </w:p>
          <w:p w:rsidR="0094118D" w:rsidRPr="00601D07" w:rsidRDefault="00092D7E" w:rsidP="00092D7E">
            <w:pPr>
              <w:spacing w:after="0" w:line="240" w:lineRule="auto"/>
            </w:pPr>
            <w:r w:rsidRPr="00601D07">
              <w:t>(100.0%)</w:t>
            </w:r>
          </w:p>
        </w:tc>
        <w:tc>
          <w:tcPr>
            <w:tcW w:w="1437" w:type="dxa"/>
            <w:shd w:val="clear" w:color="auto" w:fill="auto"/>
            <w:noWrap/>
            <w:vAlign w:val="bottom"/>
            <w:hideMark/>
          </w:tcPr>
          <w:p w:rsidR="0094118D" w:rsidRPr="00601D07" w:rsidRDefault="0094118D" w:rsidP="00092D7E">
            <w:pPr>
              <w:spacing w:after="0" w:line="240" w:lineRule="auto"/>
            </w:pPr>
            <w:r w:rsidRPr="00601D07">
              <w:t>0.0</w:t>
            </w:r>
            <w:r w:rsidR="00092D7E" w:rsidRPr="00601D07">
              <w:t>%</w:t>
            </w:r>
          </w:p>
          <w:p w:rsidR="00092D7E" w:rsidRPr="00601D07" w:rsidRDefault="00092D7E" w:rsidP="00092D7E">
            <w:pPr>
              <w:spacing w:after="0" w:line="240" w:lineRule="auto"/>
            </w:pPr>
            <w:r w:rsidRPr="00601D07">
              <w:t>(0.0%)</w:t>
            </w:r>
          </w:p>
        </w:tc>
        <w:tc>
          <w:tcPr>
            <w:tcW w:w="1437" w:type="dxa"/>
            <w:shd w:val="clear" w:color="auto" w:fill="auto"/>
            <w:noWrap/>
            <w:vAlign w:val="bottom"/>
            <w:hideMark/>
          </w:tcPr>
          <w:p w:rsidR="00092D7E" w:rsidRPr="00601D07" w:rsidRDefault="00092D7E" w:rsidP="00092D7E">
            <w:pPr>
              <w:spacing w:after="0" w:line="240" w:lineRule="auto"/>
            </w:pPr>
            <w:r w:rsidRPr="00601D07">
              <w:t>0.0%</w:t>
            </w:r>
          </w:p>
          <w:p w:rsidR="0094118D" w:rsidRPr="00601D07" w:rsidRDefault="00092D7E" w:rsidP="00092D7E">
            <w:pPr>
              <w:spacing w:after="0" w:line="240" w:lineRule="auto"/>
            </w:pPr>
            <w:r w:rsidRPr="00601D07">
              <w:t>(</w:t>
            </w:r>
            <w:r w:rsidR="0094118D" w:rsidRPr="00601D07">
              <w:t>0.0%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0.0%</w:t>
            </w:r>
          </w:p>
          <w:p w:rsidR="0094118D" w:rsidRPr="00601D07" w:rsidRDefault="00092D7E" w:rsidP="00092D7E">
            <w:pPr>
              <w:spacing w:after="0" w:line="240" w:lineRule="auto"/>
            </w:pPr>
            <w:r w:rsidRPr="00601D07">
              <w:t>(</w:t>
            </w:r>
            <w:r w:rsidR="0094118D" w:rsidRPr="00601D07">
              <w:t>0.0%</w:t>
            </w:r>
            <w:r w:rsidRPr="00601D07">
              <w:t>)</w:t>
            </w:r>
          </w:p>
        </w:tc>
        <w:tc>
          <w:tcPr>
            <w:tcW w:w="1437" w:type="dxa"/>
            <w:vMerge/>
            <w:shd w:val="clear" w:color="auto" w:fill="auto"/>
            <w:noWrap/>
            <w:vAlign w:val="bottom"/>
            <w:hideMark/>
          </w:tcPr>
          <w:p w:rsidR="0094118D" w:rsidRPr="00601D07" w:rsidRDefault="0094118D" w:rsidP="00092D7E">
            <w:pPr>
              <w:spacing w:after="0" w:line="240" w:lineRule="auto"/>
            </w:pPr>
          </w:p>
        </w:tc>
      </w:tr>
      <w:tr w:rsidR="0094118D" w:rsidRPr="00601D07" w:rsidTr="00F8060B">
        <w:trPr>
          <w:trHeight w:val="255"/>
        </w:trPr>
        <w:tc>
          <w:tcPr>
            <w:tcW w:w="1716" w:type="dxa"/>
            <w:vMerge w:val="restart"/>
            <w:shd w:val="clear" w:color="auto" w:fill="auto"/>
            <w:noWrap/>
            <w:vAlign w:val="bottom"/>
            <w:hideMark/>
          </w:tcPr>
          <w:p w:rsidR="0094118D" w:rsidRPr="00601D07" w:rsidRDefault="0094118D" w:rsidP="006E7081">
            <w:pPr>
              <w:spacing w:after="0" w:line="240" w:lineRule="auto"/>
              <w:rPr>
                <w:b/>
              </w:rPr>
            </w:pPr>
            <w:r w:rsidRPr="00601D07">
              <w:rPr>
                <w:b/>
              </w:rPr>
              <w:t>Independent</w:t>
            </w:r>
          </w:p>
          <w:p w:rsidR="0094118D" w:rsidRPr="00601D07" w:rsidRDefault="0094118D" w:rsidP="006E7081">
            <w:pPr>
              <w:spacing w:after="0" w:line="240" w:lineRule="auto"/>
              <w:rPr>
                <w:b/>
              </w:rPr>
            </w:pPr>
          </w:p>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1</w:t>
            </w:r>
          </w:p>
          <w:p w:rsidR="0094118D" w:rsidRPr="00601D07" w:rsidRDefault="00092D7E" w:rsidP="00092D7E">
            <w:pPr>
              <w:spacing w:after="0" w:line="240" w:lineRule="auto"/>
            </w:pPr>
            <w:r w:rsidRPr="00601D07">
              <w:t>(</w:t>
            </w:r>
            <w:r w:rsidR="0094118D" w:rsidRPr="00601D07">
              <w:t>39</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w:t>
            </w:r>
          </w:p>
          <w:p w:rsidR="0094118D" w:rsidRPr="00601D07" w:rsidRDefault="00092D7E" w:rsidP="00092D7E">
            <w:pPr>
              <w:spacing w:after="0" w:line="240" w:lineRule="auto"/>
            </w:pPr>
            <w:r w:rsidRPr="00601D07">
              <w:t>(</w:t>
            </w:r>
            <w:r w:rsidR="0094118D" w:rsidRPr="00601D07">
              <w:t>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0</w:t>
            </w:r>
          </w:p>
          <w:p w:rsidR="0094118D" w:rsidRPr="00601D07" w:rsidRDefault="00092D7E" w:rsidP="00092D7E">
            <w:pPr>
              <w:spacing w:after="0" w:line="240" w:lineRule="auto"/>
            </w:pPr>
            <w:r w:rsidRPr="00601D07">
              <w:t>(</w:t>
            </w:r>
            <w:r w:rsidR="0094118D" w:rsidRPr="00601D07">
              <w:t>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0</w:t>
            </w:r>
          </w:p>
          <w:p w:rsidR="0094118D" w:rsidRPr="00601D07" w:rsidRDefault="00092D7E" w:rsidP="00092D7E">
            <w:pPr>
              <w:spacing w:after="0" w:line="240" w:lineRule="auto"/>
            </w:pPr>
            <w:r w:rsidRPr="00601D07">
              <w:t>(</w:t>
            </w:r>
            <w:r w:rsidR="0094118D" w:rsidRPr="00601D07">
              <w:t>0</w:t>
            </w:r>
            <w:r w:rsidRPr="00601D07">
              <w:t>)</w:t>
            </w:r>
          </w:p>
        </w:tc>
        <w:tc>
          <w:tcPr>
            <w:tcW w:w="1437" w:type="dxa"/>
            <w:vMerge w:val="restart"/>
            <w:shd w:val="clear" w:color="auto" w:fill="auto"/>
            <w:noWrap/>
            <w:vAlign w:val="bottom"/>
            <w:hideMark/>
          </w:tcPr>
          <w:p w:rsidR="00092D7E" w:rsidRPr="00601D07" w:rsidRDefault="00092D7E" w:rsidP="00092D7E">
            <w:pPr>
              <w:spacing w:after="0" w:line="240" w:lineRule="auto"/>
            </w:pPr>
            <w:r w:rsidRPr="00601D07">
              <w:t>2</w:t>
            </w:r>
          </w:p>
          <w:p w:rsidR="0094118D" w:rsidRPr="00601D07" w:rsidRDefault="00092D7E" w:rsidP="00092D7E">
            <w:pPr>
              <w:spacing w:after="0" w:line="240" w:lineRule="auto"/>
            </w:pPr>
            <w:r w:rsidRPr="00601D07">
              <w:t>(</w:t>
            </w:r>
            <w:r w:rsidR="0094118D" w:rsidRPr="00601D07">
              <w:t>39</w:t>
            </w:r>
            <w:r w:rsidRPr="00601D07">
              <w:t>)</w:t>
            </w:r>
          </w:p>
          <w:p w:rsidR="0094118D" w:rsidRPr="00601D07" w:rsidRDefault="0094118D" w:rsidP="00092D7E">
            <w:pPr>
              <w:spacing w:after="0" w:line="240" w:lineRule="auto"/>
            </w:pPr>
          </w:p>
        </w:tc>
      </w:tr>
      <w:tr w:rsidR="0094118D" w:rsidRPr="00601D07" w:rsidTr="00F8060B">
        <w:trPr>
          <w:trHeight w:val="255"/>
        </w:trPr>
        <w:tc>
          <w:tcPr>
            <w:tcW w:w="1716" w:type="dxa"/>
            <w:vMerge/>
            <w:shd w:val="clear" w:color="auto" w:fill="auto"/>
            <w:noWrap/>
            <w:vAlign w:val="bottom"/>
            <w:hideMark/>
          </w:tcPr>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50.0%</w:t>
            </w:r>
          </w:p>
          <w:p w:rsidR="0094118D" w:rsidRPr="00601D07" w:rsidRDefault="00092D7E" w:rsidP="00092D7E">
            <w:pPr>
              <w:spacing w:after="0" w:line="240" w:lineRule="auto"/>
            </w:pPr>
            <w:r w:rsidRPr="00601D07">
              <w:t>(</w:t>
            </w:r>
            <w:r w:rsidR="0094118D" w:rsidRPr="00601D07">
              <w:t>100</w:t>
            </w:r>
            <w:r w:rsidRPr="00601D07">
              <w:t>.0</w:t>
            </w:r>
            <w:r w:rsidR="0094118D" w:rsidRPr="00601D07">
              <w:t>%</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50.0%</w:t>
            </w:r>
          </w:p>
          <w:p w:rsidR="0094118D" w:rsidRPr="00601D07" w:rsidRDefault="00092D7E" w:rsidP="00092D7E">
            <w:pPr>
              <w:spacing w:after="0" w:line="240" w:lineRule="auto"/>
            </w:pPr>
            <w:r w:rsidRPr="00601D07">
              <w:t>(</w:t>
            </w:r>
            <w:r w:rsidR="0094118D" w:rsidRPr="00601D07">
              <w:t>0.0%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0.0%</w:t>
            </w:r>
          </w:p>
          <w:p w:rsidR="0094118D" w:rsidRPr="00601D07" w:rsidRDefault="00092D7E" w:rsidP="00092D7E">
            <w:pPr>
              <w:spacing w:after="0" w:line="240" w:lineRule="auto"/>
            </w:pPr>
            <w:r w:rsidRPr="00601D07">
              <w:t>(</w:t>
            </w:r>
            <w:r w:rsidR="0094118D" w:rsidRPr="00601D07">
              <w:t>0.0%</w:t>
            </w:r>
            <w:r w:rsidRPr="00601D07">
              <w:t>)</w:t>
            </w:r>
          </w:p>
        </w:tc>
        <w:tc>
          <w:tcPr>
            <w:tcW w:w="1437" w:type="dxa"/>
            <w:shd w:val="clear" w:color="auto" w:fill="auto"/>
            <w:noWrap/>
            <w:vAlign w:val="bottom"/>
            <w:hideMark/>
          </w:tcPr>
          <w:p w:rsidR="00092D7E" w:rsidRPr="00601D07" w:rsidRDefault="0094118D" w:rsidP="00092D7E">
            <w:pPr>
              <w:spacing w:after="0" w:line="240" w:lineRule="auto"/>
            </w:pPr>
            <w:r w:rsidRPr="00601D07">
              <w:t>0.0</w:t>
            </w:r>
            <w:r w:rsidR="00092D7E" w:rsidRPr="00601D07">
              <w:t>%</w:t>
            </w:r>
          </w:p>
          <w:p w:rsidR="0094118D" w:rsidRPr="00601D07" w:rsidRDefault="00092D7E" w:rsidP="00092D7E">
            <w:pPr>
              <w:spacing w:after="0" w:line="240" w:lineRule="auto"/>
            </w:pPr>
            <w:r w:rsidRPr="00601D07">
              <w:t>(0.0</w:t>
            </w:r>
            <w:r w:rsidR="0094118D" w:rsidRPr="00601D07">
              <w:t>%</w:t>
            </w:r>
            <w:r w:rsidRPr="00601D07">
              <w:t>)</w:t>
            </w:r>
          </w:p>
        </w:tc>
        <w:tc>
          <w:tcPr>
            <w:tcW w:w="1437" w:type="dxa"/>
            <w:vMerge/>
            <w:shd w:val="clear" w:color="auto" w:fill="auto"/>
            <w:noWrap/>
            <w:vAlign w:val="bottom"/>
            <w:hideMark/>
          </w:tcPr>
          <w:p w:rsidR="0094118D" w:rsidRPr="00601D07" w:rsidRDefault="0094118D" w:rsidP="00092D7E">
            <w:pPr>
              <w:spacing w:after="0" w:line="240" w:lineRule="auto"/>
            </w:pPr>
          </w:p>
        </w:tc>
      </w:tr>
      <w:tr w:rsidR="0094118D" w:rsidRPr="00601D07" w:rsidTr="00F8060B">
        <w:trPr>
          <w:trHeight w:val="255"/>
        </w:trPr>
        <w:tc>
          <w:tcPr>
            <w:tcW w:w="1716" w:type="dxa"/>
            <w:vMerge w:val="restart"/>
            <w:shd w:val="clear" w:color="auto" w:fill="auto"/>
            <w:noWrap/>
            <w:vAlign w:val="bottom"/>
            <w:hideMark/>
          </w:tcPr>
          <w:p w:rsidR="0094118D" w:rsidRPr="00601D07" w:rsidRDefault="0094118D" w:rsidP="006E7081">
            <w:pPr>
              <w:spacing w:after="0" w:line="240" w:lineRule="auto"/>
              <w:rPr>
                <w:b/>
              </w:rPr>
            </w:pPr>
            <w:r w:rsidRPr="00601D07">
              <w:rPr>
                <w:b/>
              </w:rPr>
              <w:t>Academy (old style)</w:t>
            </w:r>
          </w:p>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4</w:t>
            </w:r>
          </w:p>
          <w:p w:rsidR="0094118D" w:rsidRPr="00601D07" w:rsidRDefault="00092D7E" w:rsidP="00092D7E">
            <w:pPr>
              <w:spacing w:after="0" w:line="240" w:lineRule="auto"/>
            </w:pPr>
            <w:r w:rsidRPr="00601D07">
              <w:t>(</w:t>
            </w:r>
            <w:r w:rsidR="0094118D" w:rsidRPr="00601D07">
              <w:t>5</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3</w:t>
            </w:r>
          </w:p>
          <w:p w:rsidR="0094118D" w:rsidRPr="00601D07" w:rsidRDefault="00092D7E" w:rsidP="00092D7E">
            <w:pPr>
              <w:spacing w:after="0" w:line="240" w:lineRule="auto"/>
            </w:pPr>
            <w:r w:rsidRPr="00601D07">
              <w:t>(</w:t>
            </w:r>
            <w:r w:rsidR="0094118D" w:rsidRPr="00601D07">
              <w:t>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w:t>
            </w:r>
          </w:p>
          <w:p w:rsidR="0094118D" w:rsidRPr="00601D07" w:rsidRDefault="00092D7E" w:rsidP="00092D7E">
            <w:pPr>
              <w:spacing w:after="0" w:line="240" w:lineRule="auto"/>
            </w:pPr>
            <w:r w:rsidRPr="00601D07">
              <w:t>(</w:t>
            </w:r>
            <w:r w:rsidR="0094118D" w:rsidRPr="00601D07">
              <w:t>2</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2</w:t>
            </w:r>
          </w:p>
          <w:p w:rsidR="0094118D" w:rsidRPr="00601D07" w:rsidRDefault="00092D7E" w:rsidP="00092D7E">
            <w:pPr>
              <w:spacing w:after="0" w:line="240" w:lineRule="auto"/>
            </w:pPr>
            <w:r w:rsidRPr="00601D07">
              <w:t>(</w:t>
            </w:r>
            <w:r w:rsidR="0094118D" w:rsidRPr="00601D07">
              <w:t>2</w:t>
            </w:r>
            <w:r w:rsidRPr="00601D07">
              <w:t>)</w:t>
            </w:r>
          </w:p>
        </w:tc>
        <w:tc>
          <w:tcPr>
            <w:tcW w:w="1437" w:type="dxa"/>
            <w:vMerge w:val="restart"/>
            <w:shd w:val="clear" w:color="auto" w:fill="auto"/>
            <w:noWrap/>
            <w:vAlign w:val="bottom"/>
            <w:hideMark/>
          </w:tcPr>
          <w:p w:rsidR="00092D7E" w:rsidRPr="00601D07" w:rsidRDefault="00092D7E" w:rsidP="00092D7E">
            <w:pPr>
              <w:spacing w:after="0" w:line="240" w:lineRule="auto"/>
            </w:pPr>
            <w:r w:rsidRPr="00601D07">
              <w:t>10</w:t>
            </w:r>
          </w:p>
          <w:p w:rsidR="0094118D" w:rsidRPr="00601D07" w:rsidRDefault="00092D7E" w:rsidP="00092D7E">
            <w:pPr>
              <w:spacing w:after="0" w:line="240" w:lineRule="auto"/>
            </w:pPr>
            <w:r w:rsidRPr="00601D07">
              <w:t>(</w:t>
            </w:r>
            <w:r w:rsidR="0094118D" w:rsidRPr="00601D07">
              <w:t>9</w:t>
            </w:r>
            <w:r w:rsidRPr="00601D07">
              <w:t>)</w:t>
            </w:r>
          </w:p>
          <w:p w:rsidR="0094118D" w:rsidRPr="00601D07" w:rsidRDefault="0094118D" w:rsidP="00092D7E">
            <w:pPr>
              <w:spacing w:after="0" w:line="240" w:lineRule="auto"/>
            </w:pPr>
          </w:p>
        </w:tc>
      </w:tr>
      <w:tr w:rsidR="0094118D" w:rsidRPr="00601D07" w:rsidTr="00F8060B">
        <w:trPr>
          <w:trHeight w:val="255"/>
        </w:trPr>
        <w:tc>
          <w:tcPr>
            <w:tcW w:w="1716" w:type="dxa"/>
            <w:vMerge/>
            <w:shd w:val="clear" w:color="auto" w:fill="auto"/>
            <w:noWrap/>
            <w:vAlign w:val="bottom"/>
            <w:hideMark/>
          </w:tcPr>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40.0%</w:t>
            </w:r>
          </w:p>
          <w:p w:rsidR="0094118D" w:rsidRPr="00601D07" w:rsidRDefault="00092D7E" w:rsidP="00092D7E">
            <w:pPr>
              <w:spacing w:after="0" w:line="240" w:lineRule="auto"/>
            </w:pPr>
            <w:r w:rsidRPr="00601D07">
              <w:t>(</w:t>
            </w:r>
            <w:r w:rsidR="0094118D" w:rsidRPr="00601D07">
              <w:t>55.6%</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30.0%</w:t>
            </w:r>
          </w:p>
          <w:p w:rsidR="0094118D" w:rsidRPr="00601D07" w:rsidRDefault="00092D7E" w:rsidP="00092D7E">
            <w:pPr>
              <w:spacing w:after="0" w:line="240" w:lineRule="auto"/>
            </w:pPr>
            <w:r w:rsidRPr="00601D07">
              <w:t>(</w:t>
            </w:r>
            <w:r w:rsidR="0094118D" w:rsidRPr="00601D07">
              <w:t>0.0%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10.0%</w:t>
            </w:r>
          </w:p>
          <w:p w:rsidR="0094118D" w:rsidRPr="00601D07" w:rsidRDefault="00092D7E" w:rsidP="00092D7E">
            <w:pPr>
              <w:spacing w:after="0" w:line="240" w:lineRule="auto"/>
            </w:pPr>
            <w:r w:rsidRPr="00601D07">
              <w:t>(</w:t>
            </w:r>
            <w:r w:rsidR="0094118D" w:rsidRPr="00601D07">
              <w:t>22.2%</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20.0%</w:t>
            </w:r>
          </w:p>
          <w:p w:rsidR="0094118D" w:rsidRPr="00601D07" w:rsidRDefault="00092D7E" w:rsidP="00092D7E">
            <w:pPr>
              <w:spacing w:after="0" w:line="240" w:lineRule="auto"/>
            </w:pPr>
            <w:r w:rsidRPr="00601D07">
              <w:t>(</w:t>
            </w:r>
            <w:r w:rsidR="0094118D" w:rsidRPr="00601D07">
              <w:t>22.2%</w:t>
            </w:r>
            <w:r w:rsidRPr="00601D07">
              <w:t>)</w:t>
            </w:r>
          </w:p>
        </w:tc>
        <w:tc>
          <w:tcPr>
            <w:tcW w:w="1437" w:type="dxa"/>
            <w:vMerge/>
            <w:shd w:val="clear" w:color="auto" w:fill="auto"/>
            <w:noWrap/>
            <w:vAlign w:val="bottom"/>
            <w:hideMark/>
          </w:tcPr>
          <w:p w:rsidR="0094118D" w:rsidRPr="00601D07" w:rsidRDefault="0094118D" w:rsidP="00092D7E">
            <w:pPr>
              <w:spacing w:after="0" w:line="240" w:lineRule="auto"/>
            </w:pPr>
          </w:p>
        </w:tc>
      </w:tr>
      <w:tr w:rsidR="0094118D" w:rsidRPr="00601D07" w:rsidTr="00F8060B">
        <w:trPr>
          <w:trHeight w:val="255"/>
        </w:trPr>
        <w:tc>
          <w:tcPr>
            <w:tcW w:w="1716" w:type="dxa"/>
            <w:vMerge w:val="restart"/>
            <w:shd w:val="clear" w:color="auto" w:fill="auto"/>
            <w:noWrap/>
            <w:vAlign w:val="bottom"/>
            <w:hideMark/>
          </w:tcPr>
          <w:p w:rsidR="0094118D" w:rsidRPr="00601D07" w:rsidRDefault="0094118D" w:rsidP="006E7081">
            <w:pPr>
              <w:spacing w:after="0" w:line="240" w:lineRule="auto"/>
              <w:rPr>
                <w:b/>
              </w:rPr>
            </w:pPr>
            <w:r w:rsidRPr="00601D07">
              <w:rPr>
                <w:b/>
              </w:rPr>
              <w:t xml:space="preserve">Academy (new) </w:t>
            </w:r>
          </w:p>
          <w:p w:rsidR="0094118D" w:rsidRPr="00601D07" w:rsidRDefault="0094118D" w:rsidP="006E7081">
            <w:pPr>
              <w:spacing w:after="0" w:line="240" w:lineRule="auto"/>
              <w:rPr>
                <w:b/>
              </w:rPr>
            </w:pPr>
          </w:p>
          <w:p w:rsidR="0094118D" w:rsidRPr="00601D07" w:rsidRDefault="0094118D" w:rsidP="006E7081">
            <w:pPr>
              <w:spacing w:after="0" w:line="240" w:lineRule="auto"/>
              <w:rPr>
                <w:b/>
              </w:rPr>
            </w:pPr>
          </w:p>
        </w:tc>
        <w:tc>
          <w:tcPr>
            <w:tcW w:w="1340" w:type="dxa"/>
            <w:shd w:val="clear" w:color="auto" w:fill="auto"/>
            <w:noWrap/>
            <w:vAlign w:val="bottom"/>
            <w:hideMark/>
          </w:tcPr>
          <w:p w:rsidR="00092D7E" w:rsidRPr="00601D07" w:rsidRDefault="00092D7E" w:rsidP="00092D7E">
            <w:pPr>
              <w:spacing w:after="0" w:line="240" w:lineRule="auto"/>
            </w:pPr>
            <w:r w:rsidRPr="00601D07">
              <w:t>26</w:t>
            </w:r>
          </w:p>
          <w:p w:rsidR="0094118D" w:rsidRPr="00601D07" w:rsidRDefault="00092D7E" w:rsidP="00092D7E">
            <w:pPr>
              <w:spacing w:after="0" w:line="240" w:lineRule="auto"/>
            </w:pPr>
            <w:r w:rsidRPr="00601D07">
              <w:t>(</w:t>
            </w:r>
            <w:r w:rsidR="0094118D" w:rsidRPr="00601D07">
              <w:t>120</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4</w:t>
            </w:r>
          </w:p>
          <w:p w:rsidR="0094118D" w:rsidRPr="00601D07" w:rsidRDefault="00092D7E" w:rsidP="00092D7E">
            <w:pPr>
              <w:spacing w:after="0" w:line="240" w:lineRule="auto"/>
            </w:pPr>
            <w:r w:rsidRPr="00601D07">
              <w:t>(</w:t>
            </w:r>
            <w:r w:rsidR="0094118D" w:rsidRPr="00601D07">
              <w:t>15</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w:t>
            </w:r>
          </w:p>
          <w:p w:rsidR="0094118D" w:rsidRPr="00601D07" w:rsidRDefault="00092D7E" w:rsidP="00092D7E">
            <w:pPr>
              <w:spacing w:after="0" w:line="240" w:lineRule="auto"/>
            </w:pPr>
            <w:r w:rsidRPr="00601D07">
              <w:t>(</w:t>
            </w:r>
            <w:r w:rsidR="0094118D" w:rsidRPr="00601D07">
              <w:t>5</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2</w:t>
            </w:r>
          </w:p>
          <w:p w:rsidR="0094118D" w:rsidRPr="00601D07" w:rsidRDefault="00092D7E" w:rsidP="00092D7E">
            <w:pPr>
              <w:spacing w:after="0" w:line="240" w:lineRule="auto"/>
            </w:pPr>
            <w:r w:rsidRPr="00601D07">
              <w:t>(</w:t>
            </w:r>
            <w:r w:rsidR="0094118D" w:rsidRPr="00601D07">
              <w:t>2</w:t>
            </w:r>
            <w:r w:rsidRPr="00601D07">
              <w:t>)</w:t>
            </w:r>
          </w:p>
        </w:tc>
        <w:tc>
          <w:tcPr>
            <w:tcW w:w="1437" w:type="dxa"/>
            <w:vMerge w:val="restart"/>
            <w:shd w:val="clear" w:color="auto" w:fill="auto"/>
            <w:noWrap/>
            <w:vAlign w:val="bottom"/>
            <w:hideMark/>
          </w:tcPr>
          <w:p w:rsidR="00092D7E" w:rsidRPr="00601D07" w:rsidRDefault="00092D7E" w:rsidP="00092D7E">
            <w:pPr>
              <w:spacing w:after="0" w:line="240" w:lineRule="auto"/>
            </w:pPr>
            <w:r w:rsidRPr="00601D07">
              <w:t>33</w:t>
            </w:r>
          </w:p>
          <w:p w:rsidR="0094118D" w:rsidRPr="00601D07" w:rsidRDefault="00092D7E" w:rsidP="00092D7E">
            <w:pPr>
              <w:spacing w:after="0" w:line="240" w:lineRule="auto"/>
            </w:pPr>
            <w:r w:rsidRPr="00601D07">
              <w:t>(</w:t>
            </w:r>
            <w:r w:rsidR="0094118D" w:rsidRPr="00601D07">
              <w:t>142</w:t>
            </w:r>
            <w:r w:rsidRPr="00601D07">
              <w:t>)</w:t>
            </w:r>
          </w:p>
          <w:p w:rsidR="0094118D" w:rsidRPr="00601D07" w:rsidRDefault="0094118D" w:rsidP="00092D7E">
            <w:pPr>
              <w:spacing w:after="0" w:line="240" w:lineRule="auto"/>
            </w:pPr>
          </w:p>
        </w:tc>
      </w:tr>
      <w:tr w:rsidR="0094118D" w:rsidRPr="00601D07" w:rsidTr="00F8060B">
        <w:trPr>
          <w:trHeight w:val="255"/>
        </w:trPr>
        <w:tc>
          <w:tcPr>
            <w:tcW w:w="1716" w:type="dxa"/>
            <w:vMerge/>
            <w:shd w:val="clear" w:color="auto" w:fill="auto"/>
            <w:noWrap/>
            <w:vAlign w:val="bottom"/>
            <w:hideMark/>
          </w:tcPr>
          <w:p w:rsidR="0094118D" w:rsidRPr="00601D07" w:rsidRDefault="0094118D" w:rsidP="006E7081">
            <w:pPr>
              <w:spacing w:line="240" w:lineRule="auto"/>
              <w:rPr>
                <w:rFonts w:ascii="Microsoft Sans Serif" w:eastAsia="Times New Roman" w:hAnsi="Microsoft Sans Serif" w:cs="Microsoft Sans Serif"/>
                <w:b/>
                <w:bCs/>
                <w:sz w:val="20"/>
                <w:szCs w:val="20"/>
                <w:lang w:eastAsia="en-GB"/>
              </w:rPr>
            </w:pPr>
          </w:p>
        </w:tc>
        <w:tc>
          <w:tcPr>
            <w:tcW w:w="1340" w:type="dxa"/>
            <w:shd w:val="clear" w:color="auto" w:fill="auto"/>
            <w:noWrap/>
            <w:vAlign w:val="bottom"/>
            <w:hideMark/>
          </w:tcPr>
          <w:p w:rsidR="00092D7E" w:rsidRPr="00601D07" w:rsidRDefault="00092D7E" w:rsidP="00092D7E">
            <w:pPr>
              <w:spacing w:after="0" w:line="240" w:lineRule="auto"/>
            </w:pPr>
            <w:r w:rsidRPr="00601D07">
              <w:t>78.8%</w:t>
            </w:r>
          </w:p>
          <w:p w:rsidR="0094118D" w:rsidRPr="00601D07" w:rsidRDefault="00092D7E" w:rsidP="00092D7E">
            <w:pPr>
              <w:spacing w:after="0" w:line="240" w:lineRule="auto"/>
            </w:pPr>
            <w:r w:rsidRPr="00601D07">
              <w:t>(</w:t>
            </w:r>
            <w:r w:rsidR="0094118D" w:rsidRPr="00601D07">
              <w:t>84</w:t>
            </w:r>
            <w:r w:rsidRPr="00601D07">
              <w:t>.</w:t>
            </w:r>
            <w:r w:rsidR="0094118D" w:rsidRPr="00601D07">
              <w:t>5%</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12.1%</w:t>
            </w:r>
          </w:p>
          <w:p w:rsidR="0094118D" w:rsidRPr="00601D07" w:rsidRDefault="00092D7E" w:rsidP="00092D7E">
            <w:pPr>
              <w:spacing w:after="0" w:line="240" w:lineRule="auto"/>
            </w:pPr>
            <w:r w:rsidRPr="00601D07">
              <w:t>(</w:t>
            </w:r>
            <w:r w:rsidR="0094118D" w:rsidRPr="00601D07">
              <w:t>10.6%</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3.0%</w:t>
            </w:r>
          </w:p>
          <w:p w:rsidR="0094118D" w:rsidRPr="00601D07" w:rsidRDefault="00092D7E" w:rsidP="00092D7E">
            <w:pPr>
              <w:spacing w:after="0" w:line="240" w:lineRule="auto"/>
            </w:pPr>
            <w:r w:rsidRPr="00601D07">
              <w:t>(</w:t>
            </w:r>
            <w:r w:rsidR="0094118D" w:rsidRPr="00601D07">
              <w:t>3.5%</w:t>
            </w:r>
            <w:r w:rsidRPr="00601D07">
              <w:t>)</w:t>
            </w:r>
          </w:p>
        </w:tc>
        <w:tc>
          <w:tcPr>
            <w:tcW w:w="1437" w:type="dxa"/>
            <w:shd w:val="clear" w:color="auto" w:fill="auto"/>
            <w:noWrap/>
            <w:vAlign w:val="bottom"/>
            <w:hideMark/>
          </w:tcPr>
          <w:p w:rsidR="00092D7E" w:rsidRPr="00601D07" w:rsidRDefault="00092D7E" w:rsidP="00092D7E">
            <w:pPr>
              <w:spacing w:after="0" w:line="240" w:lineRule="auto"/>
            </w:pPr>
            <w:r w:rsidRPr="00601D07">
              <w:t>6.1%</w:t>
            </w:r>
          </w:p>
          <w:p w:rsidR="0094118D" w:rsidRPr="00601D07" w:rsidRDefault="00092D7E" w:rsidP="00092D7E">
            <w:pPr>
              <w:spacing w:after="0" w:line="240" w:lineRule="auto"/>
            </w:pPr>
            <w:r w:rsidRPr="00601D07">
              <w:t>(</w:t>
            </w:r>
            <w:r w:rsidR="0094118D" w:rsidRPr="00601D07">
              <w:t>1.4%</w:t>
            </w:r>
            <w:r w:rsidRPr="00601D07">
              <w:t>)</w:t>
            </w:r>
          </w:p>
        </w:tc>
        <w:tc>
          <w:tcPr>
            <w:tcW w:w="1437" w:type="dxa"/>
            <w:vMerge/>
            <w:shd w:val="clear" w:color="auto" w:fill="auto"/>
            <w:noWrap/>
            <w:vAlign w:val="bottom"/>
            <w:hideMark/>
          </w:tcPr>
          <w:p w:rsidR="0094118D" w:rsidRPr="00601D07" w:rsidRDefault="0094118D" w:rsidP="006E7081">
            <w:pPr>
              <w:spacing w:line="240" w:lineRule="auto"/>
              <w:rPr>
                <w:rFonts w:ascii="Microsoft Sans Serif" w:eastAsia="Times New Roman" w:hAnsi="Microsoft Sans Serif" w:cs="Microsoft Sans Serif"/>
                <w:sz w:val="20"/>
                <w:szCs w:val="20"/>
                <w:lang w:eastAsia="en-GB"/>
              </w:rPr>
            </w:pPr>
          </w:p>
        </w:tc>
      </w:tr>
    </w:tbl>
    <w:p w:rsidR="00963796" w:rsidRPr="00601D07" w:rsidRDefault="00601D07" w:rsidP="004803B8">
      <w:pPr>
        <w:jc w:val="both"/>
      </w:pPr>
      <w:r>
        <w:br/>
      </w:r>
      <w:r w:rsidR="00963796" w:rsidRPr="00601D07">
        <w:t>O</w:t>
      </w:r>
      <w:r w:rsidR="00BF0339" w:rsidRPr="00601D07">
        <w:t xml:space="preserve">verall </w:t>
      </w:r>
      <w:r w:rsidR="004434AB" w:rsidRPr="00601D07">
        <w:t xml:space="preserve">only </w:t>
      </w:r>
      <w:r w:rsidR="00BF0339" w:rsidRPr="00601D07">
        <w:t xml:space="preserve">70% of those offering a </w:t>
      </w:r>
      <w:r w:rsidR="00963796" w:rsidRPr="00601D07">
        <w:t>two-year Key Stage 3 course teach history as a discrete su</w:t>
      </w:r>
      <w:r w:rsidR="00BF0339" w:rsidRPr="00601D07">
        <w:t>bject.  The figure is less than</w:t>
      </w:r>
      <w:r w:rsidR="00963796" w:rsidRPr="00601D07">
        <w:t xml:space="preserve"> 70% for comprehensives, less than 80% for newer academies and as low as 40% for older style academies. The proportion of schools offering alternative curricula </w:t>
      </w:r>
      <w:r w:rsidR="00BF0339" w:rsidRPr="00601D07">
        <w:t xml:space="preserve">within this two-year Key Stage 3 programme </w:t>
      </w:r>
      <w:r w:rsidR="00963796" w:rsidRPr="00601D07">
        <w:t>is small, but at 7.5% of respondents is higher than for schools with a three-year Key Stage 3.</w:t>
      </w:r>
    </w:p>
    <w:p w:rsidR="00092D7E" w:rsidRPr="00601D07" w:rsidRDefault="00092D7E" w:rsidP="004803B8">
      <w:pPr>
        <w:jc w:val="both"/>
      </w:pPr>
      <w:r w:rsidRPr="00601D07">
        <w:t>Schools have different reasons for offering a shortened two</w:t>
      </w:r>
      <w:r w:rsidR="006E7081" w:rsidRPr="00601D07">
        <w:t>-</w:t>
      </w:r>
      <w:r w:rsidRPr="00601D07">
        <w:t xml:space="preserve">year </w:t>
      </w:r>
      <w:r w:rsidR="00BF0339" w:rsidRPr="00601D07">
        <w:t>Key</w:t>
      </w:r>
      <w:r w:rsidR="00F8060B" w:rsidRPr="00601D07">
        <w:t xml:space="preserve"> S</w:t>
      </w:r>
      <w:r w:rsidR="00BF0339" w:rsidRPr="00601D07">
        <w:t>tage 3</w:t>
      </w:r>
      <w:r w:rsidRPr="00601D07">
        <w:t xml:space="preserve">; it </w:t>
      </w:r>
      <w:r w:rsidR="00BF0339" w:rsidRPr="00601D07">
        <w:t>is said to provide</w:t>
      </w:r>
      <w:r w:rsidRPr="00601D07">
        <w:t xml:space="preserve"> a greater focus to Year 8 students as they have to choose options earlier, and it also allows schools </w:t>
      </w:r>
      <w:r w:rsidR="004434AB" w:rsidRPr="00601D07">
        <w:t xml:space="preserve">three </w:t>
      </w:r>
      <w:r w:rsidR="006E7081" w:rsidRPr="00601D07">
        <w:t>year</w:t>
      </w:r>
      <w:r w:rsidRPr="00601D07">
        <w:t xml:space="preserve">s to prepare students for external examination. It does however reduce significantly the entitlement of all students to an education in history, as it effectively reduces the amount of </w:t>
      </w:r>
      <w:r w:rsidR="00BF0339" w:rsidRPr="00601D07">
        <w:rPr>
          <w:b/>
        </w:rPr>
        <w:t>guaranteed</w:t>
      </w:r>
      <w:r w:rsidR="00BF0339" w:rsidRPr="00601D07">
        <w:t xml:space="preserve"> </w:t>
      </w:r>
      <w:r w:rsidRPr="00601D07">
        <w:t xml:space="preserve">curriculum </w:t>
      </w:r>
      <w:r w:rsidR="00BF0339" w:rsidRPr="00601D07">
        <w:t xml:space="preserve">time given to the subject by </w:t>
      </w:r>
      <w:r w:rsidRPr="00601D07">
        <w:t xml:space="preserve">a third. Obviously students can opt to study history at GCSE, but given </w:t>
      </w:r>
      <w:r w:rsidR="00DE0105" w:rsidRPr="00601D07">
        <w:t xml:space="preserve">that </w:t>
      </w:r>
      <w:r w:rsidRPr="00601D07">
        <w:t xml:space="preserve">the subject is not compulsory, </w:t>
      </w:r>
      <w:r w:rsidR="00DE0105" w:rsidRPr="00601D07">
        <w:t>and that only around 40% of students currently choose to do so</w:t>
      </w:r>
      <w:r w:rsidR="00277D0C">
        <w:rPr>
          <w:rStyle w:val="FootnoteReference"/>
        </w:rPr>
        <w:footnoteReference w:id="2"/>
      </w:r>
      <w:r w:rsidR="00DE0105" w:rsidRPr="00601D07">
        <w:t xml:space="preserve">, approximately 60% of young people in schools with a two-year Key Stage 3 will experience a significantly reduced history </w:t>
      </w:r>
      <w:r w:rsidR="00DE0105" w:rsidRPr="00601D07">
        <w:lastRenderedPageBreak/>
        <w:t>curriculum.</w:t>
      </w:r>
      <w:r w:rsidRPr="00601D07">
        <w:t xml:space="preserve"> In addition, as the figures show, schools with a two</w:t>
      </w:r>
      <w:r w:rsidR="006E7081" w:rsidRPr="00601D07">
        <w:t>-</w:t>
      </w:r>
      <w:r w:rsidRPr="00601D07">
        <w:t xml:space="preserve">year </w:t>
      </w:r>
      <w:r w:rsidR="00F8060B" w:rsidRPr="00601D07">
        <w:t>K</w:t>
      </w:r>
      <w:r w:rsidR="00DE0105" w:rsidRPr="00601D07">
        <w:t>ey Stage 3</w:t>
      </w:r>
      <w:r w:rsidRPr="00601D07">
        <w:t xml:space="preserve"> are less likely to offer history as a discrete subject. This can have the effect of further </w:t>
      </w:r>
      <w:r w:rsidR="003A37BA" w:rsidRPr="00601D07">
        <w:t xml:space="preserve">diluting </w:t>
      </w:r>
      <w:r w:rsidR="00DE0105" w:rsidRPr="00601D07">
        <w:t xml:space="preserve">young people’s </w:t>
      </w:r>
      <w:r w:rsidR="003A37BA" w:rsidRPr="00601D07">
        <w:t>access to history</w:t>
      </w:r>
    </w:p>
    <w:p w:rsidR="00963796" w:rsidRPr="00601D07" w:rsidRDefault="00E46D78" w:rsidP="00963796">
      <w:pPr>
        <w:rPr>
          <w:b/>
          <w:sz w:val="24"/>
          <w:szCs w:val="24"/>
        </w:rPr>
      </w:pPr>
      <w:r>
        <w:rPr>
          <w:b/>
          <w:sz w:val="24"/>
          <w:szCs w:val="24"/>
        </w:rPr>
        <w:t>3.3 The extent</w:t>
      </w:r>
      <w:r w:rsidR="00963796" w:rsidRPr="00601D07">
        <w:rPr>
          <w:b/>
          <w:sz w:val="24"/>
          <w:szCs w:val="24"/>
        </w:rPr>
        <w:t xml:space="preserve"> of non-specialist teaching at K</w:t>
      </w:r>
      <w:r w:rsidR="00077DC3" w:rsidRPr="00601D07">
        <w:rPr>
          <w:b/>
          <w:sz w:val="24"/>
          <w:szCs w:val="24"/>
        </w:rPr>
        <w:t xml:space="preserve">ey </w:t>
      </w:r>
      <w:r w:rsidR="00963796" w:rsidRPr="00601D07">
        <w:rPr>
          <w:b/>
          <w:sz w:val="24"/>
          <w:szCs w:val="24"/>
        </w:rPr>
        <w:t>S</w:t>
      </w:r>
      <w:r w:rsidR="00077DC3" w:rsidRPr="00601D07">
        <w:rPr>
          <w:b/>
          <w:sz w:val="24"/>
          <w:szCs w:val="24"/>
        </w:rPr>
        <w:t xml:space="preserve">tage </w:t>
      </w:r>
      <w:r w:rsidR="00963796" w:rsidRPr="00601D07">
        <w:rPr>
          <w:b/>
          <w:sz w:val="24"/>
          <w:szCs w:val="24"/>
        </w:rPr>
        <w:t>3</w:t>
      </w:r>
    </w:p>
    <w:p w:rsidR="00277D0C" w:rsidRDefault="00963796" w:rsidP="004803B8">
      <w:pPr>
        <w:jc w:val="both"/>
        <w:rPr>
          <w:i/>
        </w:rPr>
      </w:pPr>
      <w:r w:rsidRPr="00601D07">
        <w:t>The extent of non-specialist teaching varies</w:t>
      </w:r>
      <w:r w:rsidR="004434AB" w:rsidRPr="00601D07">
        <w:t xml:space="preserve"> considerably by type of school.</w:t>
      </w:r>
      <w:r w:rsidRPr="00601D07">
        <w:t xml:space="preserve"> </w:t>
      </w:r>
      <w:r w:rsidR="00F64CCE" w:rsidRPr="00601D07">
        <w:t xml:space="preserve"> </w:t>
      </w:r>
      <w:r w:rsidR="004434AB" w:rsidRPr="00601D07">
        <w:t>As shown in Figure 1, o</w:t>
      </w:r>
      <w:r w:rsidR="00F64CCE" w:rsidRPr="00601D07">
        <w:t xml:space="preserve">nly 25% of older academies report that </w:t>
      </w:r>
      <w:r w:rsidR="00F64CCE" w:rsidRPr="00601D07">
        <w:rPr>
          <w:b/>
        </w:rPr>
        <w:t>all</w:t>
      </w:r>
      <w:r w:rsidR="00F64CCE" w:rsidRPr="00601D07">
        <w:t xml:space="preserve"> their history classes in Year 7 are taught by specialist teachers.   For comprehensives and newer academies the figure is around 45% of classes in which all teaching is provided by specialists, whereas in independent and grammar schools the proportions are much higher, 75% and 66% respectively. </w:t>
      </w:r>
      <w:r w:rsidR="00337103" w:rsidRPr="00601D07">
        <w:t xml:space="preserve">These figures are similar to those for </w:t>
      </w:r>
      <w:r w:rsidR="00F64CCE" w:rsidRPr="00601D07">
        <w:t>2012</w:t>
      </w:r>
      <w:r w:rsidR="00337103" w:rsidRPr="00601D07">
        <w:t xml:space="preserve"> (shown in Figure 2)</w:t>
      </w:r>
      <w:r w:rsidR="00F64CCE" w:rsidRPr="00601D07">
        <w:t xml:space="preserve">, except for </w:t>
      </w:r>
      <w:r w:rsidR="00337103" w:rsidRPr="00601D07">
        <w:t>the old style</w:t>
      </w:r>
      <w:r w:rsidR="00F64CCE" w:rsidRPr="00601D07">
        <w:t xml:space="preserve"> academies, where </w:t>
      </w:r>
      <w:r w:rsidR="00337103" w:rsidRPr="00601D07">
        <w:t xml:space="preserve">it seems that </w:t>
      </w:r>
      <w:r w:rsidR="00F64CCE" w:rsidRPr="00601D07">
        <w:t xml:space="preserve">more schools are </w:t>
      </w:r>
      <w:r w:rsidR="00337103" w:rsidRPr="00601D07">
        <w:t xml:space="preserve">now </w:t>
      </w:r>
      <w:r w:rsidR="00F64CCE" w:rsidRPr="00601D07">
        <w:t xml:space="preserve">providing </w:t>
      </w:r>
      <w:r w:rsidR="00337103" w:rsidRPr="00601D07">
        <w:t xml:space="preserve">fully </w:t>
      </w:r>
      <w:r w:rsidR="00F64CCE" w:rsidRPr="00601D07">
        <w:t xml:space="preserve">specialist </w:t>
      </w:r>
      <w:r w:rsidR="00337103" w:rsidRPr="00601D07">
        <w:t xml:space="preserve">history </w:t>
      </w:r>
      <w:r w:rsidR="00F64CCE" w:rsidRPr="00601D07">
        <w:t>teaching</w:t>
      </w:r>
      <w:r w:rsidR="00337103" w:rsidRPr="00601D07">
        <w:t xml:space="preserve"> (25% compared with only 10% in 2012)</w:t>
      </w:r>
      <w:r w:rsidR="00F64CCE" w:rsidRPr="00601D07">
        <w:t xml:space="preserve">, although this figure remains the lowest amongst all school types reported here.  </w:t>
      </w:r>
    </w:p>
    <w:p w:rsidR="00277D0C" w:rsidRDefault="00337103" w:rsidP="004803B8">
      <w:pPr>
        <w:spacing w:line="240" w:lineRule="auto"/>
      </w:pPr>
      <w:r>
        <w:rPr>
          <w:i/>
        </w:rPr>
        <w:t>Figure 1</w:t>
      </w:r>
      <w:r w:rsidR="000E68E5">
        <w:rPr>
          <w:i/>
        </w:rPr>
        <w:t xml:space="preserve">:  2013 </w:t>
      </w:r>
      <w:r w:rsidR="00F64CCE">
        <w:rPr>
          <w:i/>
        </w:rPr>
        <w:t>The proportion of history lessons in Year 7 taught by non-specialists</w:t>
      </w:r>
      <w:r w:rsidR="00277D0C">
        <w:rPr>
          <w:i/>
        </w:rPr>
        <w:t xml:space="preserve"> in schools with a three-year Key Stage 3</w:t>
      </w:r>
    </w:p>
    <w:p w:rsidR="00F64CCE" w:rsidRDefault="00F64CCE" w:rsidP="00963796">
      <w:pPr>
        <w:rPr>
          <w:color w:val="FF0000"/>
        </w:rPr>
      </w:pPr>
      <w:r>
        <w:rPr>
          <w:noProof/>
          <w:lang w:eastAsia="en-GB"/>
        </w:rPr>
        <w:drawing>
          <wp:inline distT="0" distB="0" distL="0" distR="0">
            <wp:extent cx="4819650" cy="24479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103" w:rsidRDefault="00337103" w:rsidP="00337103">
      <w:pPr>
        <w:rPr>
          <w:i/>
        </w:rPr>
      </w:pPr>
      <w:r>
        <w:rPr>
          <w:i/>
        </w:rPr>
        <w:t>Figure 2</w:t>
      </w:r>
      <w:r w:rsidR="000E68E5">
        <w:rPr>
          <w:i/>
        </w:rPr>
        <w:t>:  2012</w:t>
      </w:r>
      <w:r>
        <w:rPr>
          <w:i/>
        </w:rPr>
        <w:t xml:space="preserve"> </w:t>
      </w:r>
      <w:proofErr w:type="gramStart"/>
      <w:r>
        <w:rPr>
          <w:i/>
        </w:rPr>
        <w:t>The</w:t>
      </w:r>
      <w:proofErr w:type="gramEnd"/>
      <w:r>
        <w:rPr>
          <w:i/>
        </w:rPr>
        <w:t xml:space="preserve"> proportion of history lessons in Year 7 taught by non-specialists</w:t>
      </w:r>
    </w:p>
    <w:p w:rsidR="00337103" w:rsidRDefault="00337103" w:rsidP="00337103">
      <w:pPr>
        <w:rPr>
          <w:color w:val="FF0000"/>
        </w:rPr>
      </w:pPr>
      <w:r>
        <w:rPr>
          <w:noProof/>
          <w:lang w:eastAsia="en-GB"/>
        </w:rPr>
        <w:drawing>
          <wp:inline distT="0" distB="0" distL="0" distR="0">
            <wp:extent cx="4925291" cy="2763982"/>
            <wp:effectExtent l="0" t="0" r="2794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3796" w:rsidRDefault="00963796" w:rsidP="004803B8">
      <w:pPr>
        <w:jc w:val="both"/>
      </w:pPr>
      <w:r w:rsidRPr="00601D07">
        <w:lastRenderedPageBreak/>
        <w:t>In the comprehensive schools and new academies</w:t>
      </w:r>
      <w:r w:rsidR="00337103" w:rsidRPr="00601D07">
        <w:t>,</w:t>
      </w:r>
      <w:r w:rsidRPr="00601D07">
        <w:t xml:space="preserve"> many classes have non-specialist </w:t>
      </w:r>
      <w:r w:rsidR="00FC171E" w:rsidRPr="00601D07">
        <w:t xml:space="preserve">history </w:t>
      </w:r>
      <w:r w:rsidRPr="00601D07">
        <w:t xml:space="preserve">teaching; about one third of comprehensive schools report that up to a third of classes are taught by non-specialists, whereas 40% of newer academies say up to a third of classes are taught by non-specialists. There are some reported cases where over 60% of classes are taught by non-specialists; in comprehensives this accounts for nearly 8% of responses, and in older academies the figure is 25% (although again </w:t>
      </w:r>
      <w:r w:rsidR="00337103" w:rsidRPr="00601D07">
        <w:t xml:space="preserve">it must be acknowledged that </w:t>
      </w:r>
      <w:r w:rsidRPr="00601D07">
        <w:t>the number of responses from this type of schools is low).</w:t>
      </w:r>
      <w:r w:rsidR="00F64CCE" w:rsidRPr="00601D07">
        <w:t xml:space="preserve"> In comparison to 2012 these figures show some variation; the situation in comprehensive schools is similar, older academies show an improvement in 2013 (although the figures are still the highest across the</w:t>
      </w:r>
      <w:r w:rsidR="00337103" w:rsidRPr="00601D07">
        <w:t xml:space="preserve"> type of schools reported here);</w:t>
      </w:r>
      <w:r w:rsidR="00F64CCE" w:rsidRPr="00601D07">
        <w:t xml:space="preserve"> the situation in newer academies is much improved, but </w:t>
      </w:r>
      <w:r w:rsidR="00337103" w:rsidRPr="00601D07">
        <w:t xml:space="preserve">appears to have </w:t>
      </w:r>
      <w:r w:rsidR="00F64CCE" w:rsidRPr="00601D07">
        <w:t xml:space="preserve">deteriorated in grammar schools. These variations may be due to annual staffing fluctuations and </w:t>
      </w:r>
      <w:r w:rsidR="00337103" w:rsidRPr="00601D07">
        <w:t xml:space="preserve">merely represent a </w:t>
      </w:r>
      <w:r w:rsidR="00F64CCE" w:rsidRPr="00601D07">
        <w:t xml:space="preserve">temporary ‘blip’, but they indicate underlying concerns about staffing in the history classroom at </w:t>
      </w:r>
      <w:r w:rsidR="00F8060B" w:rsidRPr="00601D07">
        <w:t>K</w:t>
      </w:r>
      <w:r w:rsidR="00337103" w:rsidRPr="00601D07">
        <w:t>ey</w:t>
      </w:r>
      <w:r w:rsidR="00F8060B" w:rsidRPr="00601D07">
        <w:t xml:space="preserve"> S</w:t>
      </w:r>
      <w:r w:rsidR="00337103" w:rsidRPr="00601D07">
        <w:t xml:space="preserve">tage </w:t>
      </w:r>
      <w:r w:rsidR="00F8060B" w:rsidRPr="00601D07">
        <w:t>3</w:t>
      </w:r>
      <w:r w:rsidR="00F64CCE" w:rsidRPr="00601D07">
        <w:t xml:space="preserve">.  </w:t>
      </w:r>
    </w:p>
    <w:p w:rsidR="00785EBF" w:rsidRDefault="00785EBF" w:rsidP="004803B8">
      <w:pPr>
        <w:spacing w:line="240" w:lineRule="auto"/>
        <w:jc w:val="both"/>
      </w:pPr>
      <w:r>
        <w:rPr>
          <w:i/>
        </w:rPr>
        <w:t>Figure 3:  2013 The proportion of history lessons in Year 7 taught by non-specialists in schools with a two year Key Stage 3</w:t>
      </w:r>
    </w:p>
    <w:p w:rsidR="006C5CD4" w:rsidRDefault="006C5CD4" w:rsidP="00963796">
      <w:r>
        <w:rPr>
          <w:noProof/>
          <w:lang w:eastAsia="en-GB"/>
        </w:rPr>
        <w:drawing>
          <wp:inline distT="0" distB="0" distL="0" distR="0">
            <wp:extent cx="5114925" cy="36385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3796" w:rsidRPr="00601D07" w:rsidRDefault="00963796" w:rsidP="004803B8">
      <w:pPr>
        <w:jc w:val="both"/>
      </w:pPr>
      <w:r w:rsidRPr="00601D07">
        <w:t xml:space="preserve">For schools with a two-year Key Stage 3 </w:t>
      </w:r>
      <w:r w:rsidR="00785EBF">
        <w:t xml:space="preserve">(see figure 3) </w:t>
      </w:r>
      <w:r w:rsidRPr="00601D07">
        <w:t xml:space="preserve">the extent of non-specialist teaching appears to be less of an issue. In </w:t>
      </w:r>
      <w:r w:rsidR="006C5CD4">
        <w:t>55%</w:t>
      </w:r>
      <w:r w:rsidRPr="00601D07">
        <w:t xml:space="preserve"> of comprehensives all classes are taught by specialists; in newer academies the figures is</w:t>
      </w:r>
      <w:r w:rsidR="006C5CD4">
        <w:t xml:space="preserve"> just over 40%</w:t>
      </w:r>
      <w:r w:rsidR="00785EBF">
        <w:t xml:space="preserve">. </w:t>
      </w:r>
      <w:r w:rsidRPr="00601D07">
        <w:t xml:space="preserve">In the grammar and independent schools with a two-year Key Stage 3 all classes </w:t>
      </w:r>
      <w:r w:rsidR="002B1415">
        <w:t xml:space="preserve">are reported as </w:t>
      </w:r>
      <w:proofErr w:type="gramStart"/>
      <w:r w:rsidR="002B1415">
        <w:t xml:space="preserve">being </w:t>
      </w:r>
      <w:r w:rsidRPr="00601D07">
        <w:t xml:space="preserve"> taught</w:t>
      </w:r>
      <w:proofErr w:type="gramEnd"/>
      <w:r w:rsidRPr="00601D07">
        <w:t xml:space="preserve"> by specialists.</w:t>
      </w:r>
      <w:r w:rsidR="00785EBF">
        <w:t xml:space="preserve"> The exception to this is the older academies where </w:t>
      </w:r>
      <w:r w:rsidR="002B1415">
        <w:t xml:space="preserve">only </w:t>
      </w:r>
      <w:r w:rsidR="00785EBF">
        <w:t xml:space="preserve">just over 10% of schools report all lessons taught by specialists. </w:t>
      </w:r>
      <w:r w:rsidR="00277D0C">
        <w:t xml:space="preserve">(However, it should be acknowledged </w:t>
      </w:r>
      <w:proofErr w:type="gramStart"/>
      <w:r w:rsidR="00277D0C">
        <w:t xml:space="preserve">that </w:t>
      </w:r>
      <w:r w:rsidR="00785EBF">
        <w:t xml:space="preserve"> the</w:t>
      </w:r>
      <w:proofErr w:type="gramEnd"/>
      <w:r w:rsidR="00785EBF">
        <w:t xml:space="preserve"> number of independent and grammar schools, and older academies reporting a two year Key Stage 3 are </w:t>
      </w:r>
      <w:r w:rsidR="00277D0C">
        <w:t xml:space="preserve">so </w:t>
      </w:r>
      <w:r w:rsidR="00785EBF">
        <w:t>small so it is difficult to extrapolate any significant conclusions from some of the data.</w:t>
      </w:r>
      <w:r w:rsidR="00277D0C">
        <w:t>)</w:t>
      </w:r>
      <w:r w:rsidR="00785EBF">
        <w:t xml:space="preserve">  </w:t>
      </w:r>
    </w:p>
    <w:p w:rsidR="00963796" w:rsidRPr="00601D07" w:rsidRDefault="00E46D78" w:rsidP="004803B8">
      <w:pPr>
        <w:jc w:val="both"/>
        <w:rPr>
          <w:b/>
          <w:sz w:val="24"/>
          <w:szCs w:val="24"/>
        </w:rPr>
      </w:pPr>
      <w:r>
        <w:rPr>
          <w:b/>
          <w:sz w:val="24"/>
          <w:szCs w:val="24"/>
        </w:rPr>
        <w:t xml:space="preserve">3.4 </w:t>
      </w:r>
      <w:r w:rsidR="00963796" w:rsidRPr="00601D07">
        <w:rPr>
          <w:b/>
          <w:sz w:val="24"/>
          <w:szCs w:val="24"/>
        </w:rPr>
        <w:t>Time allocation at Key Stage 3</w:t>
      </w:r>
    </w:p>
    <w:p w:rsidR="00F64CCE" w:rsidRPr="00601D07" w:rsidRDefault="00963796" w:rsidP="004803B8">
      <w:pPr>
        <w:jc w:val="both"/>
      </w:pPr>
      <w:r w:rsidRPr="00601D07">
        <w:t xml:space="preserve">The amount of time allocated to history teaching seems to be </w:t>
      </w:r>
      <w:r w:rsidR="00F64CCE" w:rsidRPr="00601D07">
        <w:t>a continuing issue</w:t>
      </w:r>
      <w:r w:rsidR="00337103" w:rsidRPr="00601D07">
        <w:t xml:space="preserve"> of concern</w:t>
      </w:r>
      <w:r w:rsidR="00F64CCE" w:rsidRPr="00601D07">
        <w:t xml:space="preserve"> in some schools. As reported in previous years</w:t>
      </w:r>
      <w:r w:rsidR="000E68E5" w:rsidRPr="00601D07">
        <w:t>,</w:t>
      </w:r>
      <w:r w:rsidR="00F64CCE" w:rsidRPr="00601D07">
        <w:t xml:space="preserve"> the amount of time does vary considerably by type of school. </w:t>
      </w:r>
      <w:r w:rsidRPr="00601D07">
        <w:t xml:space="preserve"> </w:t>
      </w:r>
      <w:r w:rsidR="00F64CCE" w:rsidRPr="00601D07">
        <w:t xml:space="preserve">As can be seen </w:t>
      </w:r>
      <w:r w:rsidR="00F64CCE" w:rsidRPr="00601D07">
        <w:lastRenderedPageBreak/>
        <w:t>from the figures below, which pr</w:t>
      </w:r>
      <w:r w:rsidR="00FA6EB7">
        <w:t xml:space="preserve">esent </w:t>
      </w:r>
      <w:proofErr w:type="gramStart"/>
      <w:r w:rsidR="00F64CCE" w:rsidRPr="00601D07">
        <w:t>data</w:t>
      </w:r>
      <w:proofErr w:type="gramEnd"/>
      <w:r w:rsidR="00F64CCE" w:rsidRPr="00601D07">
        <w:t xml:space="preserve"> relating to Year 7, there has been a change in the schools reporting an allocation of more than 90 minutes a week. Previously comprehensive schools have been gene</w:t>
      </w:r>
      <w:r w:rsidR="000E68E5" w:rsidRPr="00601D07">
        <w:t xml:space="preserve">rous in this regard, but in 2013 (Figure </w:t>
      </w:r>
      <w:r w:rsidR="00785EBF">
        <w:t>4</w:t>
      </w:r>
      <w:r w:rsidR="000E68E5" w:rsidRPr="00601D07">
        <w:t xml:space="preserve">) </w:t>
      </w:r>
      <w:r w:rsidR="00F64CCE" w:rsidRPr="00601D07">
        <w:t xml:space="preserve">the figures have dropped from nearly half of comprehensives </w:t>
      </w:r>
      <w:r w:rsidR="000E68E5" w:rsidRPr="00601D07">
        <w:t xml:space="preserve">in 2012 (Figure </w:t>
      </w:r>
      <w:r w:rsidR="00785EBF">
        <w:t>5</w:t>
      </w:r>
      <w:r w:rsidR="000E68E5" w:rsidRPr="00601D07">
        <w:t xml:space="preserve">) </w:t>
      </w:r>
      <w:r w:rsidR="00F64CCE" w:rsidRPr="00601D07">
        <w:t>to just over a third. The reasons for this are unclear, but it is unlikely to be related to a change in a school</w:t>
      </w:r>
      <w:r w:rsidR="00FA6EB7">
        <w:t>’</w:t>
      </w:r>
      <w:r w:rsidR="00F64CCE" w:rsidRPr="00601D07">
        <w:t>s status from a comprehensive to an academy as the figures for newer academies seem relatively stable between 2012 and 2013.</w:t>
      </w:r>
    </w:p>
    <w:p w:rsidR="000E68E5" w:rsidRPr="00601D07" w:rsidRDefault="000E68E5" w:rsidP="004803B8">
      <w:pPr>
        <w:spacing w:line="240" w:lineRule="auto"/>
        <w:jc w:val="both"/>
        <w:rPr>
          <w:i/>
        </w:rPr>
      </w:pPr>
      <w:r w:rsidRPr="00601D07">
        <w:rPr>
          <w:i/>
        </w:rPr>
        <w:t xml:space="preserve">Figure </w:t>
      </w:r>
      <w:r w:rsidR="00785EBF">
        <w:rPr>
          <w:i/>
        </w:rPr>
        <w:t>4</w:t>
      </w:r>
      <w:r w:rsidRPr="00601D07">
        <w:rPr>
          <w:i/>
        </w:rPr>
        <w:t xml:space="preserve"> 2013: The amount of time actually allocated to history in Year 7</w:t>
      </w:r>
      <w:r w:rsidR="002B1415">
        <w:rPr>
          <w:i/>
        </w:rPr>
        <w:t xml:space="preserve"> in schools with a two-year Key </w:t>
      </w:r>
      <w:r w:rsidR="004803B8">
        <w:rPr>
          <w:i/>
        </w:rPr>
        <w:br/>
      </w:r>
      <w:r w:rsidR="002B1415">
        <w:rPr>
          <w:i/>
        </w:rPr>
        <w:t>Stage 3</w:t>
      </w:r>
    </w:p>
    <w:p w:rsidR="000E68E5" w:rsidRDefault="000E68E5" w:rsidP="000E68E5">
      <w:pPr>
        <w:rPr>
          <w:color w:val="FF0000"/>
        </w:rPr>
      </w:pPr>
      <w:r>
        <w:rPr>
          <w:noProof/>
          <w:lang w:eastAsia="en-GB"/>
        </w:rPr>
        <w:drawing>
          <wp:inline distT="0" distB="0" distL="0" distR="0">
            <wp:extent cx="5162550" cy="27336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4CCE" w:rsidRPr="00601D07" w:rsidRDefault="000E68E5" w:rsidP="00963796">
      <w:pPr>
        <w:rPr>
          <w:i/>
        </w:rPr>
      </w:pPr>
      <w:r w:rsidRPr="00601D07">
        <w:rPr>
          <w:i/>
        </w:rPr>
        <w:t xml:space="preserve">Figure </w:t>
      </w:r>
      <w:r w:rsidR="00785EBF">
        <w:rPr>
          <w:i/>
        </w:rPr>
        <w:t>5</w:t>
      </w:r>
      <w:r w:rsidR="00FC171E" w:rsidRPr="00601D07">
        <w:rPr>
          <w:i/>
        </w:rPr>
        <w:t xml:space="preserve">:  </w:t>
      </w:r>
      <w:r w:rsidR="00F64CCE" w:rsidRPr="00601D07">
        <w:t xml:space="preserve"> </w:t>
      </w:r>
      <w:r w:rsidR="00FC171E" w:rsidRPr="00601D07">
        <w:rPr>
          <w:i/>
        </w:rPr>
        <w:t xml:space="preserve">2012 </w:t>
      </w:r>
      <w:r w:rsidR="00F64CCE" w:rsidRPr="00601D07">
        <w:rPr>
          <w:i/>
        </w:rPr>
        <w:t>The amount of time actually allocated to history in Year 7</w:t>
      </w:r>
    </w:p>
    <w:p w:rsidR="00F64CCE" w:rsidRDefault="00F64CCE" w:rsidP="00963796">
      <w:pPr>
        <w:rPr>
          <w:color w:val="FF0000"/>
        </w:rPr>
      </w:pPr>
      <w:r>
        <w:rPr>
          <w:noProof/>
          <w:lang w:eastAsia="en-GB"/>
        </w:rPr>
        <w:drawing>
          <wp:inline distT="0" distB="0" distL="0" distR="0">
            <wp:extent cx="5210175" cy="29051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6433" w:rsidRPr="00601D07" w:rsidRDefault="000E68E5" w:rsidP="004803B8">
      <w:pPr>
        <w:jc w:val="both"/>
      </w:pPr>
      <w:r>
        <w:rPr>
          <w:color w:val="FF0000"/>
        </w:rPr>
        <w:br/>
      </w:r>
      <w:r w:rsidR="00F64CCE" w:rsidRPr="00601D07">
        <w:t>In 2013, for Year</w:t>
      </w:r>
      <w:r w:rsidR="00963796" w:rsidRPr="00601D07">
        <w:t xml:space="preserve"> 7, the overall figures show that 55% of pupils are taught history for more than 75 minutes a week, and by Year 9 this figure is nearly 65%. </w:t>
      </w:r>
      <w:r w:rsidR="006F6433" w:rsidRPr="00601D07">
        <w:t>Older style</w:t>
      </w:r>
      <w:r w:rsidR="00F64CCE" w:rsidRPr="00601D07">
        <w:t xml:space="preserve"> academies do stand out in 2013 as providing less </w:t>
      </w:r>
      <w:r w:rsidR="00F64CCE" w:rsidRPr="00601D07">
        <w:lastRenderedPageBreak/>
        <w:t xml:space="preserve">time overall for students at </w:t>
      </w:r>
      <w:r w:rsidR="00F8060B" w:rsidRPr="00601D07">
        <w:t>K</w:t>
      </w:r>
      <w:r w:rsidRPr="00601D07">
        <w:t xml:space="preserve">ey Stage 3; </w:t>
      </w:r>
      <w:r w:rsidR="00F64CCE" w:rsidRPr="00601D07">
        <w:t xml:space="preserve">more schools of this type provide 60 minutes or less than any other school type reported here. </w:t>
      </w:r>
    </w:p>
    <w:p w:rsidR="006F6433" w:rsidRPr="00601D07" w:rsidRDefault="00F64CCE" w:rsidP="004803B8">
      <w:pPr>
        <w:jc w:val="both"/>
      </w:pPr>
      <w:r w:rsidRPr="00601D07">
        <w:t xml:space="preserve">Additionally, </w:t>
      </w:r>
      <w:r w:rsidR="006F6433" w:rsidRPr="00601D07">
        <w:t xml:space="preserve">for </w:t>
      </w:r>
      <w:r w:rsidR="00963796" w:rsidRPr="00601D07">
        <w:t>schools with a two-year Key Stage 3 the figures are generally weaker</w:t>
      </w:r>
      <w:r w:rsidR="0022319A">
        <w:t xml:space="preserve">, as Figure </w:t>
      </w:r>
      <w:r w:rsidR="00563966">
        <w:t>6</w:t>
      </w:r>
      <w:r w:rsidR="0022319A">
        <w:t xml:space="preserve"> shows</w:t>
      </w:r>
      <w:r w:rsidR="00963796" w:rsidRPr="00601D07">
        <w:t xml:space="preserve">.  </w:t>
      </w:r>
      <w:r w:rsidR="006F6433" w:rsidRPr="00601D07">
        <w:t xml:space="preserve">Although overall around 55% of schools teach history for more than 75 minutes a week, schools with a two-year Key Stage 3 are more likely to offer pupils an hour or less a week than schools with a three-year Key Stage 3; the figures are approximately 30% and 20% respectively. </w:t>
      </w:r>
    </w:p>
    <w:p w:rsidR="006F6433" w:rsidRPr="00601D07" w:rsidRDefault="006F6433" w:rsidP="004803B8">
      <w:pPr>
        <w:spacing w:line="240" w:lineRule="auto"/>
        <w:jc w:val="both"/>
        <w:rPr>
          <w:i/>
        </w:rPr>
      </w:pPr>
      <w:r w:rsidRPr="00601D07">
        <w:rPr>
          <w:i/>
        </w:rPr>
        <w:t xml:space="preserve">Figure </w:t>
      </w:r>
      <w:r w:rsidR="00785EBF">
        <w:rPr>
          <w:i/>
        </w:rPr>
        <w:t>6</w:t>
      </w:r>
      <w:r w:rsidR="000E68E5" w:rsidRPr="00601D07">
        <w:rPr>
          <w:i/>
        </w:rPr>
        <w:t xml:space="preserve">: </w:t>
      </w:r>
      <w:r w:rsidRPr="00601D07">
        <w:rPr>
          <w:i/>
        </w:rPr>
        <w:t>2013</w:t>
      </w:r>
      <w:r w:rsidR="000E68E5" w:rsidRPr="00601D07">
        <w:rPr>
          <w:i/>
        </w:rPr>
        <w:t xml:space="preserve"> </w:t>
      </w:r>
      <w:r w:rsidRPr="00601D07">
        <w:rPr>
          <w:i/>
        </w:rPr>
        <w:t xml:space="preserve">The amount of time actually allocated to history in Year 7 in schools with a two-year </w:t>
      </w:r>
      <w:r w:rsidR="00F8060B" w:rsidRPr="00601D07">
        <w:rPr>
          <w:i/>
        </w:rPr>
        <w:t xml:space="preserve">Key </w:t>
      </w:r>
      <w:r w:rsidR="004803B8">
        <w:rPr>
          <w:i/>
        </w:rPr>
        <w:br/>
      </w:r>
      <w:r w:rsidR="00F8060B" w:rsidRPr="00601D07">
        <w:rPr>
          <w:i/>
        </w:rPr>
        <w:t>Stage 3</w:t>
      </w:r>
    </w:p>
    <w:p w:rsidR="006F6433" w:rsidRPr="00601D07" w:rsidRDefault="006F6433" w:rsidP="000C2197">
      <w:pPr>
        <w:jc w:val="both"/>
      </w:pPr>
      <w:r w:rsidRPr="00601D07">
        <w:rPr>
          <w:noProof/>
          <w:lang w:eastAsia="en-GB"/>
        </w:rPr>
        <w:drawing>
          <wp:inline distT="0" distB="0" distL="0" distR="0">
            <wp:extent cx="4675909" cy="2680855"/>
            <wp:effectExtent l="0" t="0" r="10795"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3796" w:rsidRPr="00601D07" w:rsidRDefault="006F6433" w:rsidP="000C2197">
      <w:pPr>
        <w:jc w:val="both"/>
        <w:rPr>
          <w:b/>
          <w:i/>
        </w:rPr>
      </w:pPr>
      <w:r w:rsidRPr="00601D07">
        <w:t xml:space="preserve">In terms of schools reporting whether the time allocated to history had changed there has been an increase in the number of schools reporting </w:t>
      </w:r>
      <w:r w:rsidR="000E68E5" w:rsidRPr="00601D07">
        <w:t>some kind of change to the time allocation. In 2013, of</w:t>
      </w:r>
      <w:r w:rsidRPr="00601D07">
        <w:t xml:space="preserve"> schools with a three-year </w:t>
      </w:r>
      <w:r w:rsidR="00F8060B" w:rsidRPr="00601D07">
        <w:t>K</w:t>
      </w:r>
      <w:r w:rsidR="000E68E5" w:rsidRPr="00601D07">
        <w:t xml:space="preserve">ey Stage 3, </w:t>
      </w:r>
      <w:r w:rsidRPr="00601D07">
        <w:t xml:space="preserve">12.1% reported that time had been cut, whilst 9.9% reported an increase in time allocation; in 2012 the figures had been 5.9% and 5.4% respectively. </w:t>
      </w:r>
      <w:r w:rsidR="00963796" w:rsidRPr="00601D07">
        <w:t xml:space="preserve">An unusual anomaly is the fact that more independent schools have cut the time allocation for history (nearly 25% of respondents) than </w:t>
      </w:r>
      <w:r w:rsidR="000E68E5" w:rsidRPr="00601D07">
        <w:t xml:space="preserve">have </w:t>
      </w:r>
      <w:r w:rsidR="00963796" w:rsidRPr="00601D07">
        <w:t xml:space="preserve">increased it. Moreover, independent schools were more likely to have cut time allocations than any other school type. </w:t>
      </w:r>
      <w:r w:rsidRPr="00601D07">
        <w:t xml:space="preserve">The data from the 2013 survey also highlighted that schools with a two-year Key Stage 3 were more likely to </w:t>
      </w:r>
      <w:r w:rsidR="000E68E5" w:rsidRPr="00601D07">
        <w:t xml:space="preserve">have </w:t>
      </w:r>
      <w:r w:rsidRPr="00601D07">
        <w:t>reduce</w:t>
      </w:r>
      <w:r w:rsidR="000E68E5" w:rsidRPr="00601D07">
        <w:t>d</w:t>
      </w:r>
      <w:r w:rsidRPr="00601D07">
        <w:t xml:space="preserve"> time for history than those with a three-year Key Stage 3. Overall 17.7% of respondents said that time had been taken away from history, as opposed to 7.6% who reported an increase. These reductions in time allocation for schools</w:t>
      </w:r>
      <w:r w:rsidR="00F8060B" w:rsidRPr="00601D07">
        <w:t xml:space="preserve"> </w:t>
      </w:r>
      <w:r w:rsidRPr="00601D07">
        <w:t>with a two-year Key Stage 3 are almost entirely confined to academy schools</w:t>
      </w:r>
      <w:r w:rsidR="00963796" w:rsidRPr="00601D07">
        <w:t xml:space="preserve">; 40% of older academies </w:t>
      </w:r>
      <w:r w:rsidR="000E68E5" w:rsidRPr="00601D07">
        <w:t xml:space="preserve">and 28% of new academies reported a </w:t>
      </w:r>
      <w:r w:rsidR="00963796" w:rsidRPr="00601D07">
        <w:t xml:space="preserve">decreased time allocation </w:t>
      </w:r>
    </w:p>
    <w:p w:rsidR="000C2197" w:rsidRDefault="000C2197">
      <w:pPr>
        <w:rPr>
          <w:b/>
          <w:sz w:val="36"/>
          <w:szCs w:val="36"/>
        </w:rPr>
      </w:pPr>
    </w:p>
    <w:p w:rsidR="00745748" w:rsidRDefault="00745748">
      <w:pPr>
        <w:rPr>
          <w:b/>
          <w:sz w:val="36"/>
          <w:szCs w:val="36"/>
        </w:rPr>
      </w:pPr>
      <w:r>
        <w:rPr>
          <w:b/>
          <w:sz w:val="36"/>
          <w:szCs w:val="36"/>
        </w:rPr>
        <w:br w:type="page"/>
      </w:r>
    </w:p>
    <w:p w:rsidR="00F16BFE" w:rsidRPr="00601D07" w:rsidRDefault="00E46D78" w:rsidP="000C2197">
      <w:pPr>
        <w:jc w:val="both"/>
        <w:rPr>
          <w:b/>
          <w:sz w:val="36"/>
          <w:szCs w:val="36"/>
        </w:rPr>
      </w:pPr>
      <w:r>
        <w:rPr>
          <w:b/>
          <w:sz w:val="36"/>
          <w:szCs w:val="36"/>
        </w:rPr>
        <w:lastRenderedPageBreak/>
        <w:t xml:space="preserve">4. </w:t>
      </w:r>
      <w:r w:rsidR="00F16BFE" w:rsidRPr="00601D07">
        <w:rPr>
          <w:b/>
          <w:sz w:val="36"/>
          <w:szCs w:val="36"/>
        </w:rPr>
        <w:t>GCSE</w:t>
      </w:r>
    </w:p>
    <w:p w:rsidR="00576EC3" w:rsidRPr="00601D07" w:rsidRDefault="00E46D78" w:rsidP="000C2197">
      <w:pPr>
        <w:jc w:val="both"/>
        <w:rPr>
          <w:b/>
          <w:sz w:val="24"/>
          <w:szCs w:val="24"/>
        </w:rPr>
      </w:pPr>
      <w:r>
        <w:rPr>
          <w:b/>
          <w:sz w:val="24"/>
          <w:szCs w:val="24"/>
        </w:rPr>
        <w:t xml:space="preserve">4.1 The length </w:t>
      </w:r>
      <w:r w:rsidR="00576EC3" w:rsidRPr="00601D07">
        <w:rPr>
          <w:b/>
          <w:sz w:val="24"/>
          <w:szCs w:val="24"/>
        </w:rPr>
        <w:t>of GCSE history courses</w:t>
      </w:r>
    </w:p>
    <w:p w:rsidR="00DE4A8D" w:rsidRDefault="00576EC3" w:rsidP="000C2197">
      <w:pPr>
        <w:jc w:val="both"/>
        <w:rPr>
          <w:i/>
        </w:rPr>
      </w:pPr>
      <w:r w:rsidRPr="00601D07">
        <w:t xml:space="preserve">Somewhat paradoxically, one-year history GCSE courses are more likely to be taught in schools that have allocated </w:t>
      </w:r>
      <w:r w:rsidR="00FC171E" w:rsidRPr="00601D07">
        <w:t xml:space="preserve">three </w:t>
      </w:r>
      <w:r w:rsidR="006E7081" w:rsidRPr="00601D07">
        <w:t>year</w:t>
      </w:r>
      <w:r w:rsidRPr="00601D07">
        <w:t xml:space="preserve">s to their Key Stage 4 teaching. </w:t>
      </w:r>
      <w:r w:rsidR="00FC171E" w:rsidRPr="00601D07">
        <w:t>As Table 4 shows, a</w:t>
      </w:r>
      <w:r w:rsidRPr="00601D07">
        <w:t xml:space="preserve">mong schools that allow the conventional </w:t>
      </w:r>
      <w:r w:rsidR="00FC171E" w:rsidRPr="00601D07">
        <w:t xml:space="preserve">three </w:t>
      </w:r>
      <w:r w:rsidR="006E7081" w:rsidRPr="00601D07">
        <w:t>year</w:t>
      </w:r>
      <w:r w:rsidRPr="00601D07">
        <w:t xml:space="preserve">s for Key Stage 3 and allocate </w:t>
      </w:r>
      <w:r w:rsidR="00FC171E" w:rsidRPr="00601D07">
        <w:t xml:space="preserve">two </w:t>
      </w:r>
      <w:r w:rsidR="006E7081" w:rsidRPr="00601D07">
        <w:t>year</w:t>
      </w:r>
      <w:r w:rsidRPr="00601D07">
        <w:t xml:space="preserve">s to GCSE teaching, only around </w:t>
      </w:r>
      <w:r w:rsidR="00B40507">
        <w:t>3</w:t>
      </w:r>
      <w:r w:rsidRPr="00601D07">
        <w:t xml:space="preserve">% of respondents reported that they offered a one-year GCSE programme. </w:t>
      </w:r>
    </w:p>
    <w:p w:rsidR="00F8060B" w:rsidRPr="00601D07" w:rsidRDefault="00F8060B" w:rsidP="000C2197">
      <w:pPr>
        <w:spacing w:line="240" w:lineRule="auto"/>
        <w:ind w:left="720" w:hanging="720"/>
        <w:jc w:val="both"/>
        <w:rPr>
          <w:i/>
        </w:rPr>
      </w:pPr>
      <w:r w:rsidRPr="00601D07">
        <w:rPr>
          <w:i/>
        </w:rPr>
        <w:t>Table 4</w:t>
      </w:r>
      <w:r w:rsidR="00A511AD">
        <w:rPr>
          <w:i/>
        </w:rPr>
        <w:t>:</w:t>
      </w:r>
      <w:r w:rsidRPr="00601D07">
        <w:rPr>
          <w:i/>
        </w:rPr>
        <w:t xml:space="preserve"> </w:t>
      </w:r>
      <w:r w:rsidR="00FC171E" w:rsidRPr="00601D07">
        <w:rPr>
          <w:i/>
        </w:rPr>
        <w:t xml:space="preserve">2013 </w:t>
      </w:r>
      <w:r w:rsidRPr="00601D07">
        <w:rPr>
          <w:i/>
        </w:rPr>
        <w:t>GCSE provision offered in a school with a two-year Key Stage 4</w:t>
      </w:r>
    </w:p>
    <w:tbl>
      <w:tblPr>
        <w:tblStyle w:val="TableGrid"/>
        <w:tblW w:w="9039" w:type="dxa"/>
        <w:tblLayout w:type="fixed"/>
        <w:tblLook w:val="04A0"/>
      </w:tblPr>
      <w:tblGrid>
        <w:gridCol w:w="1951"/>
        <w:gridCol w:w="1389"/>
        <w:gridCol w:w="1389"/>
        <w:gridCol w:w="1389"/>
        <w:gridCol w:w="1389"/>
        <w:gridCol w:w="1532"/>
      </w:tblGrid>
      <w:tr w:rsidR="00F8060B" w:rsidRPr="00601D07" w:rsidTr="00FC171E">
        <w:tc>
          <w:tcPr>
            <w:tcW w:w="1951" w:type="dxa"/>
            <w:vAlign w:val="bottom"/>
          </w:tcPr>
          <w:p w:rsidR="00F8060B" w:rsidRPr="00601D07" w:rsidRDefault="00F8060B" w:rsidP="00CE4DB9">
            <w:pPr>
              <w:rPr>
                <w:b/>
              </w:rPr>
            </w:pPr>
            <w:r w:rsidRPr="00601D07">
              <w:rPr>
                <w:b/>
              </w:rPr>
              <w:t>History courses offered in a two-year Key Stage 4</w:t>
            </w:r>
          </w:p>
        </w:tc>
        <w:tc>
          <w:tcPr>
            <w:tcW w:w="1389" w:type="dxa"/>
          </w:tcPr>
          <w:p w:rsidR="00F8060B" w:rsidRPr="00601D07" w:rsidRDefault="00F8060B" w:rsidP="00576EC3">
            <w:pPr>
              <w:rPr>
                <w:b/>
              </w:rPr>
            </w:pPr>
            <w:r w:rsidRPr="00601D07">
              <w:rPr>
                <w:b/>
              </w:rPr>
              <w:t>1 year GCSE</w:t>
            </w:r>
          </w:p>
        </w:tc>
        <w:tc>
          <w:tcPr>
            <w:tcW w:w="1389" w:type="dxa"/>
          </w:tcPr>
          <w:p w:rsidR="00F8060B" w:rsidRPr="00601D07" w:rsidRDefault="00F8060B" w:rsidP="00576EC3">
            <w:pPr>
              <w:rPr>
                <w:b/>
              </w:rPr>
            </w:pPr>
            <w:r w:rsidRPr="00601D07">
              <w:rPr>
                <w:b/>
              </w:rPr>
              <w:t>2 year GCSE</w:t>
            </w:r>
          </w:p>
        </w:tc>
        <w:tc>
          <w:tcPr>
            <w:tcW w:w="1389" w:type="dxa"/>
          </w:tcPr>
          <w:p w:rsidR="00F8060B" w:rsidRPr="00601D07" w:rsidRDefault="00F8060B" w:rsidP="00576EC3">
            <w:pPr>
              <w:rPr>
                <w:b/>
              </w:rPr>
            </w:pPr>
            <w:r w:rsidRPr="00601D07">
              <w:rPr>
                <w:b/>
              </w:rPr>
              <w:t xml:space="preserve">Humanities </w:t>
            </w:r>
          </w:p>
        </w:tc>
        <w:tc>
          <w:tcPr>
            <w:tcW w:w="1389" w:type="dxa"/>
          </w:tcPr>
          <w:p w:rsidR="00F8060B" w:rsidRPr="00601D07" w:rsidRDefault="00F8060B" w:rsidP="00576EC3">
            <w:pPr>
              <w:rPr>
                <w:b/>
              </w:rPr>
            </w:pPr>
            <w:r w:rsidRPr="00601D07">
              <w:rPr>
                <w:b/>
              </w:rPr>
              <w:t>Other</w:t>
            </w:r>
          </w:p>
        </w:tc>
        <w:tc>
          <w:tcPr>
            <w:tcW w:w="1532" w:type="dxa"/>
          </w:tcPr>
          <w:p w:rsidR="00F8060B" w:rsidRPr="00601D07" w:rsidRDefault="00F8060B" w:rsidP="00576EC3">
            <w:pPr>
              <w:rPr>
                <w:b/>
              </w:rPr>
            </w:pPr>
            <w:r w:rsidRPr="00601D07">
              <w:rPr>
                <w:b/>
              </w:rPr>
              <w:t>Total respondent s</w:t>
            </w:r>
          </w:p>
        </w:tc>
      </w:tr>
      <w:tr w:rsidR="00F8060B" w:rsidRPr="00601D07" w:rsidTr="00FC171E">
        <w:tc>
          <w:tcPr>
            <w:tcW w:w="1951" w:type="dxa"/>
            <w:vMerge w:val="restart"/>
            <w:vAlign w:val="bottom"/>
          </w:tcPr>
          <w:p w:rsidR="00F8060B" w:rsidRPr="00601D07" w:rsidRDefault="00F8060B" w:rsidP="00CE4DB9">
            <w:pPr>
              <w:rPr>
                <w:b/>
              </w:rPr>
            </w:pPr>
            <w:r w:rsidRPr="00601D07">
              <w:rPr>
                <w:b/>
              </w:rPr>
              <w:t xml:space="preserve">All schools </w:t>
            </w:r>
          </w:p>
          <w:p w:rsidR="00F8060B" w:rsidRPr="00601D07" w:rsidRDefault="00F8060B" w:rsidP="00CE4DB9">
            <w:pPr>
              <w:rPr>
                <w:b/>
              </w:rPr>
            </w:pPr>
          </w:p>
          <w:p w:rsidR="00F8060B" w:rsidRPr="00601D07" w:rsidRDefault="00F8060B" w:rsidP="00CE4DB9">
            <w:pPr>
              <w:rPr>
                <w:b/>
              </w:rPr>
            </w:pPr>
          </w:p>
        </w:tc>
        <w:tc>
          <w:tcPr>
            <w:tcW w:w="1389" w:type="dxa"/>
          </w:tcPr>
          <w:p w:rsidR="00F8060B" w:rsidRPr="00601D07" w:rsidRDefault="00F8060B" w:rsidP="00576EC3">
            <w:r w:rsidRPr="00601D07">
              <w:t>9</w:t>
            </w:r>
          </w:p>
        </w:tc>
        <w:tc>
          <w:tcPr>
            <w:tcW w:w="1389" w:type="dxa"/>
          </w:tcPr>
          <w:p w:rsidR="00F8060B" w:rsidRPr="00601D07" w:rsidRDefault="00F8060B" w:rsidP="00576EC3">
            <w:r w:rsidRPr="00601D07">
              <w:t>363</w:t>
            </w:r>
          </w:p>
        </w:tc>
        <w:tc>
          <w:tcPr>
            <w:tcW w:w="1389" w:type="dxa"/>
          </w:tcPr>
          <w:p w:rsidR="00F8060B" w:rsidRPr="00601D07" w:rsidRDefault="00F8060B" w:rsidP="00576EC3">
            <w:r w:rsidRPr="00601D07">
              <w:t>14</w:t>
            </w:r>
          </w:p>
        </w:tc>
        <w:tc>
          <w:tcPr>
            <w:tcW w:w="1389" w:type="dxa"/>
          </w:tcPr>
          <w:p w:rsidR="00F8060B" w:rsidRPr="00601D07" w:rsidRDefault="00F8060B" w:rsidP="00576EC3">
            <w:r w:rsidRPr="00601D07">
              <w:t>15</w:t>
            </w:r>
          </w:p>
        </w:tc>
        <w:tc>
          <w:tcPr>
            <w:tcW w:w="1532" w:type="dxa"/>
            <w:vMerge w:val="restart"/>
          </w:tcPr>
          <w:p w:rsidR="00F8060B" w:rsidRPr="00601D07" w:rsidRDefault="00F8060B" w:rsidP="00576EC3">
            <w:r w:rsidRPr="00601D07">
              <w:t>401</w:t>
            </w:r>
          </w:p>
        </w:tc>
      </w:tr>
      <w:tr w:rsidR="00F8060B" w:rsidRPr="00601D07" w:rsidTr="00FC171E">
        <w:tc>
          <w:tcPr>
            <w:tcW w:w="1951" w:type="dxa"/>
            <w:vMerge/>
            <w:vAlign w:val="bottom"/>
          </w:tcPr>
          <w:p w:rsidR="00F8060B" w:rsidRPr="00601D07" w:rsidRDefault="00F8060B" w:rsidP="00CE4DB9">
            <w:pPr>
              <w:rPr>
                <w:b/>
              </w:rPr>
            </w:pPr>
          </w:p>
        </w:tc>
        <w:tc>
          <w:tcPr>
            <w:tcW w:w="1389" w:type="dxa"/>
          </w:tcPr>
          <w:p w:rsidR="00F8060B" w:rsidRPr="00601D07" w:rsidRDefault="00F8060B" w:rsidP="00576EC3">
            <w:r w:rsidRPr="00601D07">
              <w:t>2.2%</w:t>
            </w:r>
          </w:p>
        </w:tc>
        <w:tc>
          <w:tcPr>
            <w:tcW w:w="1389" w:type="dxa"/>
          </w:tcPr>
          <w:p w:rsidR="00F8060B" w:rsidRPr="00601D07" w:rsidRDefault="00F8060B" w:rsidP="00576EC3">
            <w:r w:rsidRPr="00601D07">
              <w:t>90.5%</w:t>
            </w:r>
          </w:p>
        </w:tc>
        <w:tc>
          <w:tcPr>
            <w:tcW w:w="1389" w:type="dxa"/>
          </w:tcPr>
          <w:p w:rsidR="00F8060B" w:rsidRPr="00601D07" w:rsidRDefault="00F8060B" w:rsidP="00576EC3">
            <w:r w:rsidRPr="00601D07">
              <w:t>3.5%</w:t>
            </w:r>
          </w:p>
        </w:tc>
        <w:tc>
          <w:tcPr>
            <w:tcW w:w="1389" w:type="dxa"/>
          </w:tcPr>
          <w:p w:rsidR="00F8060B" w:rsidRPr="00601D07" w:rsidRDefault="00F8060B" w:rsidP="00576EC3">
            <w:r w:rsidRPr="00601D07">
              <w:t>3.7%</w:t>
            </w:r>
          </w:p>
        </w:tc>
        <w:tc>
          <w:tcPr>
            <w:tcW w:w="1532" w:type="dxa"/>
            <w:vMerge/>
          </w:tcPr>
          <w:p w:rsidR="00F8060B" w:rsidRPr="00601D07" w:rsidRDefault="00F8060B" w:rsidP="00576EC3"/>
        </w:tc>
      </w:tr>
      <w:tr w:rsidR="00F8060B" w:rsidRPr="00601D07" w:rsidTr="00FC171E">
        <w:tc>
          <w:tcPr>
            <w:tcW w:w="1951" w:type="dxa"/>
            <w:vMerge w:val="restart"/>
            <w:vAlign w:val="bottom"/>
          </w:tcPr>
          <w:p w:rsidR="00F8060B" w:rsidRPr="00601D07" w:rsidRDefault="00F8060B" w:rsidP="00CE4DB9">
            <w:pPr>
              <w:rPr>
                <w:b/>
              </w:rPr>
            </w:pPr>
            <w:r w:rsidRPr="00601D07">
              <w:rPr>
                <w:b/>
              </w:rPr>
              <w:t>Comprehensive</w:t>
            </w:r>
          </w:p>
          <w:p w:rsidR="00F8060B" w:rsidRPr="00601D07" w:rsidRDefault="00F8060B" w:rsidP="00CE4DB9">
            <w:pPr>
              <w:rPr>
                <w:b/>
              </w:rPr>
            </w:pPr>
          </w:p>
          <w:p w:rsidR="00F8060B" w:rsidRPr="00601D07" w:rsidRDefault="00F8060B" w:rsidP="00CE4DB9">
            <w:pPr>
              <w:rPr>
                <w:b/>
              </w:rPr>
            </w:pPr>
          </w:p>
        </w:tc>
        <w:tc>
          <w:tcPr>
            <w:tcW w:w="1389" w:type="dxa"/>
          </w:tcPr>
          <w:p w:rsidR="00F8060B" w:rsidRPr="00601D07" w:rsidRDefault="00F8060B" w:rsidP="00576EC3">
            <w:r w:rsidRPr="00601D07">
              <w:t>5</w:t>
            </w:r>
          </w:p>
        </w:tc>
        <w:tc>
          <w:tcPr>
            <w:tcW w:w="1389" w:type="dxa"/>
          </w:tcPr>
          <w:p w:rsidR="00F8060B" w:rsidRPr="00601D07" w:rsidRDefault="00F8060B" w:rsidP="00576EC3">
            <w:r w:rsidRPr="00601D07">
              <w:t>176</w:t>
            </w:r>
          </w:p>
        </w:tc>
        <w:tc>
          <w:tcPr>
            <w:tcW w:w="1389" w:type="dxa"/>
          </w:tcPr>
          <w:p w:rsidR="00F8060B" w:rsidRPr="00601D07" w:rsidRDefault="00F8060B" w:rsidP="00576EC3">
            <w:r w:rsidRPr="00601D07">
              <w:t>8</w:t>
            </w:r>
          </w:p>
        </w:tc>
        <w:tc>
          <w:tcPr>
            <w:tcW w:w="1389" w:type="dxa"/>
          </w:tcPr>
          <w:p w:rsidR="00F8060B" w:rsidRPr="00601D07" w:rsidRDefault="00F8060B" w:rsidP="00576EC3">
            <w:r w:rsidRPr="00601D07">
              <w:t>9</w:t>
            </w:r>
          </w:p>
        </w:tc>
        <w:tc>
          <w:tcPr>
            <w:tcW w:w="1532" w:type="dxa"/>
            <w:vMerge w:val="restart"/>
          </w:tcPr>
          <w:p w:rsidR="00F8060B" w:rsidRPr="00601D07" w:rsidRDefault="00F8060B" w:rsidP="00576EC3">
            <w:r w:rsidRPr="00601D07">
              <w:t>198</w:t>
            </w:r>
          </w:p>
        </w:tc>
      </w:tr>
      <w:tr w:rsidR="00F8060B" w:rsidRPr="00601D07" w:rsidTr="00FC171E">
        <w:tc>
          <w:tcPr>
            <w:tcW w:w="1951" w:type="dxa"/>
            <w:vMerge/>
            <w:vAlign w:val="bottom"/>
          </w:tcPr>
          <w:p w:rsidR="00F8060B" w:rsidRPr="00601D07" w:rsidRDefault="00F8060B" w:rsidP="00CE4DB9">
            <w:pPr>
              <w:rPr>
                <w:b/>
              </w:rPr>
            </w:pPr>
          </w:p>
        </w:tc>
        <w:tc>
          <w:tcPr>
            <w:tcW w:w="1389" w:type="dxa"/>
          </w:tcPr>
          <w:p w:rsidR="00F8060B" w:rsidRPr="00601D07" w:rsidRDefault="00F8060B" w:rsidP="00576EC3">
            <w:r w:rsidRPr="00601D07">
              <w:t>2.5%</w:t>
            </w:r>
          </w:p>
        </w:tc>
        <w:tc>
          <w:tcPr>
            <w:tcW w:w="1389" w:type="dxa"/>
          </w:tcPr>
          <w:p w:rsidR="00F8060B" w:rsidRPr="00601D07" w:rsidRDefault="00F8060B" w:rsidP="00576EC3">
            <w:r w:rsidRPr="00601D07">
              <w:t>88.9%</w:t>
            </w:r>
          </w:p>
        </w:tc>
        <w:tc>
          <w:tcPr>
            <w:tcW w:w="1389" w:type="dxa"/>
          </w:tcPr>
          <w:p w:rsidR="00F8060B" w:rsidRPr="00601D07" w:rsidRDefault="00F8060B" w:rsidP="00576EC3">
            <w:r w:rsidRPr="00601D07">
              <w:t>4.0%</w:t>
            </w:r>
          </w:p>
        </w:tc>
        <w:tc>
          <w:tcPr>
            <w:tcW w:w="1389" w:type="dxa"/>
          </w:tcPr>
          <w:p w:rsidR="00F8060B" w:rsidRPr="00601D07" w:rsidRDefault="00F8060B" w:rsidP="00576EC3">
            <w:r w:rsidRPr="00601D07">
              <w:t>4.5%</w:t>
            </w:r>
          </w:p>
        </w:tc>
        <w:tc>
          <w:tcPr>
            <w:tcW w:w="1532" w:type="dxa"/>
            <w:vMerge/>
          </w:tcPr>
          <w:p w:rsidR="00F8060B" w:rsidRPr="00601D07" w:rsidRDefault="00F8060B" w:rsidP="00576EC3"/>
        </w:tc>
      </w:tr>
      <w:tr w:rsidR="00F8060B" w:rsidRPr="00601D07" w:rsidTr="00FC171E">
        <w:tc>
          <w:tcPr>
            <w:tcW w:w="1951" w:type="dxa"/>
            <w:vMerge w:val="restart"/>
            <w:vAlign w:val="bottom"/>
          </w:tcPr>
          <w:p w:rsidR="00F8060B" w:rsidRPr="00601D07" w:rsidRDefault="00F8060B" w:rsidP="00CE4DB9">
            <w:pPr>
              <w:rPr>
                <w:b/>
              </w:rPr>
            </w:pPr>
            <w:r w:rsidRPr="00601D07">
              <w:rPr>
                <w:b/>
              </w:rPr>
              <w:t>Grammar</w:t>
            </w:r>
          </w:p>
          <w:p w:rsidR="00F8060B" w:rsidRPr="00601D07" w:rsidRDefault="00F8060B" w:rsidP="00CE4DB9">
            <w:pPr>
              <w:rPr>
                <w:b/>
              </w:rPr>
            </w:pPr>
          </w:p>
          <w:p w:rsidR="00F8060B" w:rsidRPr="00601D07" w:rsidRDefault="00F8060B" w:rsidP="00CE4DB9">
            <w:pPr>
              <w:rPr>
                <w:b/>
              </w:rPr>
            </w:pPr>
          </w:p>
        </w:tc>
        <w:tc>
          <w:tcPr>
            <w:tcW w:w="1389" w:type="dxa"/>
          </w:tcPr>
          <w:p w:rsidR="00F8060B" w:rsidRPr="00601D07" w:rsidRDefault="00F8060B" w:rsidP="00576EC3">
            <w:r w:rsidRPr="00601D07">
              <w:t>0</w:t>
            </w:r>
          </w:p>
        </w:tc>
        <w:tc>
          <w:tcPr>
            <w:tcW w:w="1389" w:type="dxa"/>
          </w:tcPr>
          <w:p w:rsidR="00F8060B" w:rsidRPr="00601D07" w:rsidRDefault="00F8060B" w:rsidP="00576EC3">
            <w:r w:rsidRPr="00601D07">
              <w:t>6</w:t>
            </w:r>
          </w:p>
        </w:tc>
        <w:tc>
          <w:tcPr>
            <w:tcW w:w="1389" w:type="dxa"/>
          </w:tcPr>
          <w:p w:rsidR="00F8060B" w:rsidRPr="00601D07" w:rsidRDefault="00F8060B" w:rsidP="00576EC3">
            <w:r w:rsidRPr="00601D07">
              <w:t>0</w:t>
            </w:r>
          </w:p>
        </w:tc>
        <w:tc>
          <w:tcPr>
            <w:tcW w:w="1389" w:type="dxa"/>
          </w:tcPr>
          <w:p w:rsidR="00F8060B" w:rsidRPr="00601D07" w:rsidRDefault="00F8060B" w:rsidP="00576EC3">
            <w:r w:rsidRPr="00601D07">
              <w:t>0</w:t>
            </w:r>
          </w:p>
        </w:tc>
        <w:tc>
          <w:tcPr>
            <w:tcW w:w="1532" w:type="dxa"/>
            <w:vMerge w:val="restart"/>
          </w:tcPr>
          <w:p w:rsidR="00F8060B" w:rsidRPr="00601D07" w:rsidRDefault="00F8060B" w:rsidP="00576EC3">
            <w:r w:rsidRPr="00601D07">
              <w:t>6</w:t>
            </w:r>
          </w:p>
        </w:tc>
      </w:tr>
      <w:tr w:rsidR="00F8060B" w:rsidRPr="00601D07" w:rsidTr="00FC171E">
        <w:tc>
          <w:tcPr>
            <w:tcW w:w="1951" w:type="dxa"/>
            <w:vMerge/>
            <w:vAlign w:val="bottom"/>
          </w:tcPr>
          <w:p w:rsidR="00F8060B" w:rsidRPr="00601D07" w:rsidRDefault="00F8060B" w:rsidP="00CE4DB9">
            <w:pPr>
              <w:rPr>
                <w:b/>
              </w:rPr>
            </w:pPr>
          </w:p>
        </w:tc>
        <w:tc>
          <w:tcPr>
            <w:tcW w:w="1389" w:type="dxa"/>
          </w:tcPr>
          <w:p w:rsidR="00F8060B" w:rsidRPr="00601D07" w:rsidRDefault="00F8060B" w:rsidP="00576EC3">
            <w:r w:rsidRPr="00601D07">
              <w:t>0.0%</w:t>
            </w:r>
          </w:p>
        </w:tc>
        <w:tc>
          <w:tcPr>
            <w:tcW w:w="1389" w:type="dxa"/>
          </w:tcPr>
          <w:p w:rsidR="00F8060B" w:rsidRPr="00601D07" w:rsidRDefault="00F8060B" w:rsidP="00576EC3">
            <w:r w:rsidRPr="00601D07">
              <w:t>100.0%</w:t>
            </w:r>
          </w:p>
        </w:tc>
        <w:tc>
          <w:tcPr>
            <w:tcW w:w="1389" w:type="dxa"/>
          </w:tcPr>
          <w:p w:rsidR="00F8060B" w:rsidRPr="00601D07" w:rsidRDefault="00F8060B" w:rsidP="00576EC3">
            <w:r w:rsidRPr="00601D07">
              <w:t>0.0%</w:t>
            </w:r>
          </w:p>
        </w:tc>
        <w:tc>
          <w:tcPr>
            <w:tcW w:w="1389" w:type="dxa"/>
          </w:tcPr>
          <w:p w:rsidR="00F8060B" w:rsidRPr="00601D07" w:rsidRDefault="00F8060B" w:rsidP="00576EC3">
            <w:r w:rsidRPr="00601D07">
              <w:t>0.0%</w:t>
            </w:r>
          </w:p>
        </w:tc>
        <w:tc>
          <w:tcPr>
            <w:tcW w:w="1532" w:type="dxa"/>
            <w:vMerge/>
          </w:tcPr>
          <w:p w:rsidR="00F8060B" w:rsidRPr="00601D07" w:rsidRDefault="00F8060B" w:rsidP="00576EC3"/>
        </w:tc>
      </w:tr>
      <w:tr w:rsidR="00F8060B" w:rsidRPr="00601D07" w:rsidTr="00FC171E">
        <w:tc>
          <w:tcPr>
            <w:tcW w:w="1951" w:type="dxa"/>
            <w:vMerge w:val="restart"/>
            <w:vAlign w:val="bottom"/>
          </w:tcPr>
          <w:p w:rsidR="00F8060B" w:rsidRPr="00601D07" w:rsidRDefault="00F8060B" w:rsidP="00CE4DB9">
            <w:pPr>
              <w:rPr>
                <w:b/>
              </w:rPr>
            </w:pPr>
            <w:r w:rsidRPr="00601D07">
              <w:rPr>
                <w:b/>
              </w:rPr>
              <w:t>Independent</w:t>
            </w:r>
          </w:p>
          <w:p w:rsidR="00F8060B" w:rsidRPr="00601D07" w:rsidRDefault="00F8060B" w:rsidP="00CE4DB9">
            <w:pPr>
              <w:rPr>
                <w:b/>
              </w:rPr>
            </w:pPr>
          </w:p>
          <w:p w:rsidR="00F8060B" w:rsidRPr="00601D07" w:rsidRDefault="00F8060B" w:rsidP="00CE4DB9">
            <w:pPr>
              <w:rPr>
                <w:b/>
              </w:rPr>
            </w:pPr>
          </w:p>
        </w:tc>
        <w:tc>
          <w:tcPr>
            <w:tcW w:w="1389" w:type="dxa"/>
          </w:tcPr>
          <w:p w:rsidR="00F8060B" w:rsidRPr="00601D07" w:rsidRDefault="00F8060B" w:rsidP="00576EC3">
            <w:r w:rsidRPr="00601D07">
              <w:t>0</w:t>
            </w:r>
          </w:p>
        </w:tc>
        <w:tc>
          <w:tcPr>
            <w:tcW w:w="1389" w:type="dxa"/>
          </w:tcPr>
          <w:p w:rsidR="00F8060B" w:rsidRPr="00601D07" w:rsidRDefault="00F8060B" w:rsidP="00576EC3">
            <w:r w:rsidRPr="00601D07">
              <w:t>36</w:t>
            </w:r>
          </w:p>
        </w:tc>
        <w:tc>
          <w:tcPr>
            <w:tcW w:w="1389" w:type="dxa"/>
          </w:tcPr>
          <w:p w:rsidR="00F8060B" w:rsidRPr="00601D07" w:rsidRDefault="00F8060B" w:rsidP="00576EC3">
            <w:r w:rsidRPr="00601D07">
              <w:t>0</w:t>
            </w:r>
          </w:p>
        </w:tc>
        <w:tc>
          <w:tcPr>
            <w:tcW w:w="1389" w:type="dxa"/>
          </w:tcPr>
          <w:p w:rsidR="00F8060B" w:rsidRPr="00601D07" w:rsidRDefault="00F8060B" w:rsidP="00576EC3">
            <w:r w:rsidRPr="00601D07">
              <w:t>3</w:t>
            </w:r>
          </w:p>
        </w:tc>
        <w:tc>
          <w:tcPr>
            <w:tcW w:w="1532" w:type="dxa"/>
            <w:vMerge w:val="restart"/>
          </w:tcPr>
          <w:p w:rsidR="00F8060B" w:rsidRPr="00601D07" w:rsidRDefault="00F8060B" w:rsidP="00576EC3">
            <w:r w:rsidRPr="00601D07">
              <w:t>39</w:t>
            </w:r>
          </w:p>
        </w:tc>
      </w:tr>
      <w:tr w:rsidR="00F8060B" w:rsidRPr="00601D07" w:rsidTr="00FC171E">
        <w:tc>
          <w:tcPr>
            <w:tcW w:w="1951" w:type="dxa"/>
            <w:vMerge/>
            <w:vAlign w:val="bottom"/>
          </w:tcPr>
          <w:p w:rsidR="00F8060B" w:rsidRPr="00601D07" w:rsidRDefault="00F8060B" w:rsidP="00CE4DB9">
            <w:pPr>
              <w:rPr>
                <w:b/>
              </w:rPr>
            </w:pPr>
          </w:p>
        </w:tc>
        <w:tc>
          <w:tcPr>
            <w:tcW w:w="1389" w:type="dxa"/>
          </w:tcPr>
          <w:p w:rsidR="00F8060B" w:rsidRPr="00601D07" w:rsidRDefault="00F8060B" w:rsidP="00576EC3">
            <w:r w:rsidRPr="00601D07">
              <w:t>0.0%</w:t>
            </w:r>
          </w:p>
        </w:tc>
        <w:tc>
          <w:tcPr>
            <w:tcW w:w="1389" w:type="dxa"/>
          </w:tcPr>
          <w:p w:rsidR="00F8060B" w:rsidRPr="00601D07" w:rsidRDefault="00F8060B" w:rsidP="00576EC3">
            <w:r w:rsidRPr="00601D07">
              <w:t>100.0%</w:t>
            </w:r>
          </w:p>
        </w:tc>
        <w:tc>
          <w:tcPr>
            <w:tcW w:w="1389" w:type="dxa"/>
          </w:tcPr>
          <w:p w:rsidR="00F8060B" w:rsidRPr="00601D07" w:rsidRDefault="00F8060B" w:rsidP="00576EC3">
            <w:r w:rsidRPr="00601D07">
              <w:t>0.0%</w:t>
            </w:r>
          </w:p>
        </w:tc>
        <w:tc>
          <w:tcPr>
            <w:tcW w:w="1389" w:type="dxa"/>
          </w:tcPr>
          <w:p w:rsidR="00F8060B" w:rsidRPr="00601D07" w:rsidRDefault="00F8060B" w:rsidP="00576EC3">
            <w:r w:rsidRPr="00601D07">
              <w:t>0.0%</w:t>
            </w:r>
          </w:p>
        </w:tc>
        <w:tc>
          <w:tcPr>
            <w:tcW w:w="1532" w:type="dxa"/>
            <w:vMerge/>
          </w:tcPr>
          <w:p w:rsidR="00F8060B" w:rsidRPr="00601D07" w:rsidRDefault="00F8060B" w:rsidP="00576EC3"/>
        </w:tc>
      </w:tr>
      <w:tr w:rsidR="00F8060B" w:rsidRPr="00601D07" w:rsidTr="00FC171E">
        <w:tc>
          <w:tcPr>
            <w:tcW w:w="1951" w:type="dxa"/>
            <w:vMerge w:val="restart"/>
            <w:vAlign w:val="bottom"/>
          </w:tcPr>
          <w:p w:rsidR="00F8060B" w:rsidRPr="00601D07" w:rsidRDefault="00F8060B" w:rsidP="00CE4DB9">
            <w:pPr>
              <w:rPr>
                <w:b/>
              </w:rPr>
            </w:pPr>
            <w:r w:rsidRPr="00601D07">
              <w:rPr>
                <w:b/>
              </w:rPr>
              <w:t>Academy</w:t>
            </w:r>
            <w:r w:rsidR="00FC171E" w:rsidRPr="00601D07">
              <w:rPr>
                <w:b/>
              </w:rPr>
              <w:br/>
            </w:r>
            <w:r w:rsidRPr="00601D07">
              <w:rPr>
                <w:b/>
              </w:rPr>
              <w:t>(old style)</w:t>
            </w:r>
          </w:p>
          <w:p w:rsidR="00F8060B" w:rsidRPr="00601D07" w:rsidRDefault="00F8060B" w:rsidP="00CE4DB9">
            <w:pPr>
              <w:rPr>
                <w:b/>
              </w:rPr>
            </w:pPr>
          </w:p>
        </w:tc>
        <w:tc>
          <w:tcPr>
            <w:tcW w:w="1389" w:type="dxa"/>
          </w:tcPr>
          <w:p w:rsidR="00F8060B" w:rsidRPr="00601D07" w:rsidRDefault="00F8060B" w:rsidP="00576EC3">
            <w:r w:rsidRPr="00601D07">
              <w:t>0</w:t>
            </w:r>
          </w:p>
        </w:tc>
        <w:tc>
          <w:tcPr>
            <w:tcW w:w="1389" w:type="dxa"/>
          </w:tcPr>
          <w:p w:rsidR="00F8060B" w:rsidRPr="00601D07" w:rsidRDefault="00F8060B" w:rsidP="00576EC3">
            <w:r w:rsidRPr="00601D07">
              <w:t>9</w:t>
            </w:r>
          </w:p>
        </w:tc>
        <w:tc>
          <w:tcPr>
            <w:tcW w:w="1389" w:type="dxa"/>
          </w:tcPr>
          <w:p w:rsidR="00F8060B" w:rsidRPr="00601D07" w:rsidRDefault="00F8060B" w:rsidP="00576EC3">
            <w:r w:rsidRPr="00601D07">
              <w:t>1</w:t>
            </w:r>
          </w:p>
        </w:tc>
        <w:tc>
          <w:tcPr>
            <w:tcW w:w="1389" w:type="dxa"/>
          </w:tcPr>
          <w:p w:rsidR="00F8060B" w:rsidRPr="00601D07" w:rsidRDefault="00F8060B" w:rsidP="00576EC3">
            <w:r w:rsidRPr="00601D07">
              <w:t>0</w:t>
            </w:r>
          </w:p>
        </w:tc>
        <w:tc>
          <w:tcPr>
            <w:tcW w:w="1532" w:type="dxa"/>
            <w:vMerge w:val="restart"/>
          </w:tcPr>
          <w:p w:rsidR="00F8060B" w:rsidRPr="00601D07" w:rsidRDefault="00F8060B" w:rsidP="00576EC3">
            <w:r w:rsidRPr="00601D07">
              <w:t>10</w:t>
            </w:r>
          </w:p>
        </w:tc>
      </w:tr>
      <w:tr w:rsidR="00F8060B" w:rsidRPr="00601D07" w:rsidTr="00FC171E">
        <w:tc>
          <w:tcPr>
            <w:tcW w:w="1951" w:type="dxa"/>
            <w:vMerge/>
            <w:vAlign w:val="bottom"/>
          </w:tcPr>
          <w:p w:rsidR="00F8060B" w:rsidRPr="00601D07" w:rsidRDefault="00F8060B" w:rsidP="00CE4DB9">
            <w:pPr>
              <w:rPr>
                <w:b/>
              </w:rPr>
            </w:pPr>
          </w:p>
        </w:tc>
        <w:tc>
          <w:tcPr>
            <w:tcW w:w="1389" w:type="dxa"/>
          </w:tcPr>
          <w:p w:rsidR="00F8060B" w:rsidRPr="00601D07" w:rsidRDefault="00F8060B" w:rsidP="00576EC3">
            <w:r w:rsidRPr="00601D07">
              <w:t>0.0%</w:t>
            </w:r>
          </w:p>
        </w:tc>
        <w:tc>
          <w:tcPr>
            <w:tcW w:w="1389" w:type="dxa"/>
          </w:tcPr>
          <w:p w:rsidR="00F8060B" w:rsidRPr="00601D07" w:rsidRDefault="00F8060B" w:rsidP="00576EC3">
            <w:r w:rsidRPr="00601D07">
              <w:t>90.0%</w:t>
            </w:r>
          </w:p>
        </w:tc>
        <w:tc>
          <w:tcPr>
            <w:tcW w:w="1389" w:type="dxa"/>
          </w:tcPr>
          <w:p w:rsidR="00F8060B" w:rsidRPr="00601D07" w:rsidRDefault="00F8060B" w:rsidP="00576EC3">
            <w:r w:rsidRPr="00601D07">
              <w:t>10.0%</w:t>
            </w:r>
          </w:p>
        </w:tc>
        <w:tc>
          <w:tcPr>
            <w:tcW w:w="1389" w:type="dxa"/>
          </w:tcPr>
          <w:p w:rsidR="00F8060B" w:rsidRPr="00601D07" w:rsidRDefault="00F8060B" w:rsidP="00576EC3">
            <w:r w:rsidRPr="00601D07">
              <w:t>0.0%</w:t>
            </w:r>
          </w:p>
        </w:tc>
        <w:tc>
          <w:tcPr>
            <w:tcW w:w="1532" w:type="dxa"/>
            <w:vMerge/>
          </w:tcPr>
          <w:p w:rsidR="00F8060B" w:rsidRPr="00601D07" w:rsidRDefault="00F8060B" w:rsidP="00576EC3"/>
        </w:tc>
      </w:tr>
      <w:tr w:rsidR="00F8060B" w:rsidRPr="00601D07" w:rsidTr="00FC171E">
        <w:tc>
          <w:tcPr>
            <w:tcW w:w="1951" w:type="dxa"/>
            <w:vMerge w:val="restart"/>
            <w:vAlign w:val="bottom"/>
          </w:tcPr>
          <w:p w:rsidR="00F8060B" w:rsidRPr="00601D07" w:rsidRDefault="00F8060B" w:rsidP="00CE4DB9">
            <w:pPr>
              <w:rPr>
                <w:b/>
              </w:rPr>
            </w:pPr>
            <w:r w:rsidRPr="00601D07">
              <w:rPr>
                <w:b/>
              </w:rPr>
              <w:t xml:space="preserve">Academy (new) </w:t>
            </w:r>
          </w:p>
          <w:p w:rsidR="00F8060B" w:rsidRPr="00601D07" w:rsidRDefault="00F8060B" w:rsidP="00CE4DB9">
            <w:pPr>
              <w:rPr>
                <w:b/>
              </w:rPr>
            </w:pPr>
          </w:p>
          <w:p w:rsidR="00F8060B" w:rsidRPr="00601D07" w:rsidRDefault="00F8060B" w:rsidP="00CE4DB9">
            <w:pPr>
              <w:rPr>
                <w:b/>
              </w:rPr>
            </w:pPr>
          </w:p>
        </w:tc>
        <w:tc>
          <w:tcPr>
            <w:tcW w:w="1389" w:type="dxa"/>
          </w:tcPr>
          <w:p w:rsidR="00F8060B" w:rsidRPr="00601D07" w:rsidRDefault="00F8060B" w:rsidP="00576EC3">
            <w:r w:rsidRPr="00601D07">
              <w:t>4</w:t>
            </w:r>
          </w:p>
        </w:tc>
        <w:tc>
          <w:tcPr>
            <w:tcW w:w="1389" w:type="dxa"/>
          </w:tcPr>
          <w:p w:rsidR="00F8060B" w:rsidRPr="00601D07" w:rsidRDefault="00F8060B" w:rsidP="00576EC3">
            <w:r w:rsidRPr="00601D07">
              <w:t>136</w:t>
            </w:r>
          </w:p>
        </w:tc>
        <w:tc>
          <w:tcPr>
            <w:tcW w:w="1389" w:type="dxa"/>
          </w:tcPr>
          <w:p w:rsidR="00F8060B" w:rsidRPr="00601D07" w:rsidRDefault="00F8060B" w:rsidP="00576EC3">
            <w:r w:rsidRPr="00601D07">
              <w:t>5</w:t>
            </w:r>
          </w:p>
        </w:tc>
        <w:tc>
          <w:tcPr>
            <w:tcW w:w="1389" w:type="dxa"/>
          </w:tcPr>
          <w:p w:rsidR="00F8060B" w:rsidRPr="00601D07" w:rsidRDefault="00F8060B" w:rsidP="00576EC3">
            <w:r w:rsidRPr="00601D07">
              <w:t>3</w:t>
            </w:r>
          </w:p>
        </w:tc>
        <w:tc>
          <w:tcPr>
            <w:tcW w:w="1532" w:type="dxa"/>
            <w:vMerge w:val="restart"/>
          </w:tcPr>
          <w:p w:rsidR="00F8060B" w:rsidRPr="00601D07" w:rsidRDefault="00F8060B" w:rsidP="00576EC3">
            <w:r w:rsidRPr="00601D07">
              <w:t>148</w:t>
            </w:r>
          </w:p>
        </w:tc>
      </w:tr>
      <w:tr w:rsidR="00F8060B" w:rsidRPr="00601D07" w:rsidTr="00FC171E">
        <w:tc>
          <w:tcPr>
            <w:tcW w:w="1951" w:type="dxa"/>
            <w:vMerge/>
            <w:vAlign w:val="bottom"/>
          </w:tcPr>
          <w:p w:rsidR="00F8060B" w:rsidRPr="00601D07" w:rsidRDefault="00F8060B" w:rsidP="00CE4DB9">
            <w:pPr>
              <w:rPr>
                <w:rFonts w:ascii="Microsoft Sans Serif" w:eastAsia="Times New Roman" w:hAnsi="Microsoft Sans Serif" w:cs="Microsoft Sans Serif"/>
                <w:b/>
                <w:bCs/>
                <w:sz w:val="20"/>
                <w:szCs w:val="20"/>
                <w:lang w:eastAsia="en-GB"/>
              </w:rPr>
            </w:pPr>
          </w:p>
        </w:tc>
        <w:tc>
          <w:tcPr>
            <w:tcW w:w="1389" w:type="dxa"/>
          </w:tcPr>
          <w:p w:rsidR="00F8060B" w:rsidRPr="00601D07" w:rsidRDefault="00F8060B" w:rsidP="00576EC3">
            <w:r w:rsidRPr="00601D07">
              <w:t>2.7%</w:t>
            </w:r>
          </w:p>
        </w:tc>
        <w:tc>
          <w:tcPr>
            <w:tcW w:w="1389" w:type="dxa"/>
          </w:tcPr>
          <w:p w:rsidR="00F8060B" w:rsidRPr="00601D07" w:rsidRDefault="00F8060B" w:rsidP="00576EC3">
            <w:r w:rsidRPr="00601D07">
              <w:t>91.9%</w:t>
            </w:r>
          </w:p>
        </w:tc>
        <w:tc>
          <w:tcPr>
            <w:tcW w:w="1389" w:type="dxa"/>
          </w:tcPr>
          <w:p w:rsidR="00F8060B" w:rsidRPr="00601D07" w:rsidRDefault="00F8060B" w:rsidP="00576EC3">
            <w:r w:rsidRPr="00601D07">
              <w:t>3.4%</w:t>
            </w:r>
          </w:p>
        </w:tc>
        <w:tc>
          <w:tcPr>
            <w:tcW w:w="1389" w:type="dxa"/>
          </w:tcPr>
          <w:p w:rsidR="00F8060B" w:rsidRPr="00601D07" w:rsidRDefault="00F8060B" w:rsidP="00576EC3">
            <w:r w:rsidRPr="00601D07">
              <w:t>2.0%</w:t>
            </w:r>
          </w:p>
        </w:tc>
        <w:tc>
          <w:tcPr>
            <w:tcW w:w="1532" w:type="dxa"/>
            <w:vMerge/>
          </w:tcPr>
          <w:p w:rsidR="00F8060B" w:rsidRPr="00601D07" w:rsidRDefault="00F8060B" w:rsidP="00576EC3"/>
        </w:tc>
      </w:tr>
    </w:tbl>
    <w:p w:rsidR="000C2197" w:rsidRDefault="000C2197" w:rsidP="000C2197">
      <w:pPr>
        <w:jc w:val="both"/>
      </w:pPr>
    </w:p>
    <w:p w:rsidR="00ED2F51" w:rsidRDefault="00ED2F51" w:rsidP="000C2197">
      <w:pPr>
        <w:jc w:val="both"/>
        <w:rPr>
          <w:i/>
        </w:rPr>
      </w:pPr>
      <w:r>
        <w:t xml:space="preserve">However </w:t>
      </w:r>
      <w:r w:rsidRPr="00601D07">
        <w:t xml:space="preserve"> </w:t>
      </w:r>
      <w:r w:rsidR="00B40507">
        <w:t xml:space="preserve">as Table 5 shows, </w:t>
      </w:r>
      <w:r w:rsidRPr="00601D07">
        <w:t>among those schools that allocate only two years to Key Stage 3 (and thus could have up to three-year</w:t>
      </w:r>
      <w:r w:rsidR="00B40507">
        <w:t xml:space="preserve">s for GCSE teaching) more than 18% </w:t>
      </w:r>
      <w:r w:rsidRPr="00601D07">
        <w:t xml:space="preserve">of respondents report that they offer a one-year GCSE history course, while 40% offer the standard two-year GCSE course, and over 36% report that they offer a three-year GCSE programme.   </w:t>
      </w:r>
    </w:p>
    <w:p w:rsidR="000C2197" w:rsidRDefault="000C2197">
      <w:pPr>
        <w:rPr>
          <w:i/>
        </w:rPr>
      </w:pPr>
      <w:r w:rsidRPr="00601D07">
        <w:t>The pattern of this provision raises a number of questions, particularly regarding students in schools with a three-year Key Stage 4, as it is unclear what students do afterwards if they finish their courses in one or two years</w:t>
      </w:r>
      <w:r>
        <w:t>. There are also perhaps</w:t>
      </w:r>
      <w:r w:rsidRPr="00601D07">
        <w:t xml:space="preserve"> questions </w:t>
      </w:r>
      <w:r>
        <w:t xml:space="preserve">to be asked </w:t>
      </w:r>
      <w:r w:rsidRPr="00601D07">
        <w:t xml:space="preserve">about the experience of students spending three years covering a course </w:t>
      </w:r>
      <w:r>
        <w:t xml:space="preserve">that was </w:t>
      </w:r>
      <w:r w:rsidRPr="00601D07">
        <w:t>designed to be taught in two.</w:t>
      </w:r>
      <w:r>
        <w:rPr>
          <w:i/>
        </w:rPr>
        <w:br w:type="page"/>
      </w:r>
    </w:p>
    <w:p w:rsidR="00F8060B" w:rsidRPr="00601D07" w:rsidRDefault="00F8060B" w:rsidP="000C2197">
      <w:pPr>
        <w:jc w:val="both"/>
        <w:rPr>
          <w:i/>
        </w:rPr>
      </w:pPr>
      <w:r w:rsidRPr="00601D07">
        <w:rPr>
          <w:i/>
        </w:rPr>
        <w:lastRenderedPageBreak/>
        <w:t xml:space="preserve">Table 5 </w:t>
      </w:r>
      <w:r w:rsidR="00FC171E" w:rsidRPr="00601D07">
        <w:rPr>
          <w:i/>
        </w:rPr>
        <w:t xml:space="preserve">2013 </w:t>
      </w:r>
      <w:r w:rsidRPr="00601D07">
        <w:rPr>
          <w:i/>
        </w:rPr>
        <w:t>GCSE provisio</w:t>
      </w:r>
      <w:r w:rsidR="00B40507">
        <w:rPr>
          <w:i/>
        </w:rPr>
        <w:t>n offered in a school with a three</w:t>
      </w:r>
      <w:r w:rsidRPr="00601D07">
        <w:rPr>
          <w:i/>
        </w:rPr>
        <w:t>-year Key Stage 4</w:t>
      </w:r>
    </w:p>
    <w:tbl>
      <w:tblPr>
        <w:tblStyle w:val="TableGrid"/>
        <w:tblW w:w="9089" w:type="dxa"/>
        <w:tblLayout w:type="fixed"/>
        <w:tblLook w:val="04A0"/>
      </w:tblPr>
      <w:tblGrid>
        <w:gridCol w:w="1951"/>
        <w:gridCol w:w="1134"/>
        <w:gridCol w:w="992"/>
        <w:gridCol w:w="993"/>
        <w:gridCol w:w="1275"/>
        <w:gridCol w:w="1276"/>
        <w:gridCol w:w="1468"/>
      </w:tblGrid>
      <w:tr w:rsidR="00F8060B" w:rsidRPr="00601D07" w:rsidTr="00FC171E">
        <w:trPr>
          <w:trHeight w:val="804"/>
        </w:trPr>
        <w:tc>
          <w:tcPr>
            <w:tcW w:w="1951" w:type="dxa"/>
            <w:vAlign w:val="bottom"/>
          </w:tcPr>
          <w:p w:rsidR="00F8060B" w:rsidRPr="00601D07" w:rsidRDefault="00B40507" w:rsidP="00CE4DB9">
            <w:pPr>
              <w:rPr>
                <w:b/>
              </w:rPr>
            </w:pPr>
            <w:r>
              <w:rPr>
                <w:b/>
              </w:rPr>
              <w:t>History courses offered in a three</w:t>
            </w:r>
            <w:r w:rsidR="00F8060B" w:rsidRPr="00601D07">
              <w:rPr>
                <w:b/>
              </w:rPr>
              <w:t>-year Key Stage 4</w:t>
            </w:r>
          </w:p>
        </w:tc>
        <w:tc>
          <w:tcPr>
            <w:tcW w:w="1134" w:type="dxa"/>
          </w:tcPr>
          <w:p w:rsidR="00F8060B" w:rsidRPr="00601D07" w:rsidRDefault="00F8060B" w:rsidP="00CE4DB9">
            <w:pPr>
              <w:rPr>
                <w:b/>
              </w:rPr>
            </w:pPr>
            <w:r w:rsidRPr="00601D07">
              <w:rPr>
                <w:b/>
              </w:rPr>
              <w:t>1 year GCSE</w:t>
            </w:r>
          </w:p>
        </w:tc>
        <w:tc>
          <w:tcPr>
            <w:tcW w:w="992" w:type="dxa"/>
          </w:tcPr>
          <w:p w:rsidR="00F8060B" w:rsidRPr="00601D07" w:rsidRDefault="00F8060B" w:rsidP="00CE4DB9">
            <w:pPr>
              <w:rPr>
                <w:b/>
              </w:rPr>
            </w:pPr>
            <w:r w:rsidRPr="00601D07">
              <w:rPr>
                <w:b/>
              </w:rPr>
              <w:t>2 year GCSE</w:t>
            </w:r>
          </w:p>
        </w:tc>
        <w:tc>
          <w:tcPr>
            <w:tcW w:w="993" w:type="dxa"/>
          </w:tcPr>
          <w:p w:rsidR="00F8060B" w:rsidRPr="00601D07" w:rsidRDefault="00F8060B" w:rsidP="00CE4DB9">
            <w:pPr>
              <w:rPr>
                <w:b/>
              </w:rPr>
            </w:pPr>
            <w:r w:rsidRPr="00601D07">
              <w:rPr>
                <w:b/>
              </w:rPr>
              <w:t>3 year GCSE</w:t>
            </w:r>
          </w:p>
        </w:tc>
        <w:tc>
          <w:tcPr>
            <w:tcW w:w="1275" w:type="dxa"/>
          </w:tcPr>
          <w:p w:rsidR="00F8060B" w:rsidRPr="00601D07" w:rsidRDefault="00F8060B" w:rsidP="00CE4DB9">
            <w:pPr>
              <w:rPr>
                <w:b/>
              </w:rPr>
            </w:pPr>
            <w:r w:rsidRPr="00601D07">
              <w:rPr>
                <w:b/>
              </w:rPr>
              <w:t xml:space="preserve">Humanities </w:t>
            </w:r>
          </w:p>
        </w:tc>
        <w:tc>
          <w:tcPr>
            <w:tcW w:w="1276" w:type="dxa"/>
          </w:tcPr>
          <w:p w:rsidR="00F8060B" w:rsidRPr="00601D07" w:rsidRDefault="00F8060B" w:rsidP="00CE4DB9">
            <w:pPr>
              <w:rPr>
                <w:b/>
              </w:rPr>
            </w:pPr>
            <w:r w:rsidRPr="00601D07">
              <w:rPr>
                <w:b/>
              </w:rPr>
              <w:t>Other</w:t>
            </w:r>
          </w:p>
        </w:tc>
        <w:tc>
          <w:tcPr>
            <w:tcW w:w="1468" w:type="dxa"/>
          </w:tcPr>
          <w:p w:rsidR="00F8060B" w:rsidRPr="00601D07" w:rsidRDefault="00F8060B" w:rsidP="00F8060B">
            <w:pPr>
              <w:rPr>
                <w:b/>
              </w:rPr>
            </w:pPr>
            <w:r w:rsidRPr="00601D07">
              <w:rPr>
                <w:b/>
              </w:rPr>
              <w:t>Total respondents</w:t>
            </w:r>
          </w:p>
        </w:tc>
      </w:tr>
      <w:tr w:rsidR="00F8060B" w:rsidRPr="00601D07" w:rsidTr="00FC171E">
        <w:trPr>
          <w:trHeight w:val="253"/>
        </w:trPr>
        <w:tc>
          <w:tcPr>
            <w:tcW w:w="1951" w:type="dxa"/>
            <w:vMerge w:val="restart"/>
            <w:vAlign w:val="bottom"/>
          </w:tcPr>
          <w:p w:rsidR="00F8060B" w:rsidRPr="00601D07" w:rsidRDefault="00F8060B" w:rsidP="00CE4DB9">
            <w:pPr>
              <w:rPr>
                <w:b/>
              </w:rPr>
            </w:pPr>
            <w:r w:rsidRPr="00601D07">
              <w:rPr>
                <w:b/>
              </w:rPr>
              <w:t xml:space="preserve">All schools </w:t>
            </w:r>
          </w:p>
          <w:p w:rsidR="00F8060B" w:rsidRPr="00601D07" w:rsidRDefault="00F8060B" w:rsidP="00CE4DB9">
            <w:pPr>
              <w:rPr>
                <w:b/>
              </w:rPr>
            </w:pPr>
          </w:p>
          <w:p w:rsidR="00F8060B" w:rsidRPr="00601D07" w:rsidRDefault="00F8060B" w:rsidP="00CE4DB9">
            <w:pPr>
              <w:rPr>
                <w:b/>
              </w:rPr>
            </w:pPr>
          </w:p>
        </w:tc>
        <w:tc>
          <w:tcPr>
            <w:tcW w:w="1134" w:type="dxa"/>
          </w:tcPr>
          <w:p w:rsidR="00F8060B" w:rsidRPr="00601D07" w:rsidRDefault="00F8060B" w:rsidP="00CE4DB9">
            <w:r w:rsidRPr="00601D07">
              <w:t>17</w:t>
            </w:r>
          </w:p>
        </w:tc>
        <w:tc>
          <w:tcPr>
            <w:tcW w:w="992" w:type="dxa"/>
          </w:tcPr>
          <w:p w:rsidR="00F8060B" w:rsidRPr="00601D07" w:rsidRDefault="00F8060B" w:rsidP="00F8060B">
            <w:r w:rsidRPr="00601D07">
              <w:t>38</w:t>
            </w:r>
          </w:p>
        </w:tc>
        <w:tc>
          <w:tcPr>
            <w:tcW w:w="993" w:type="dxa"/>
          </w:tcPr>
          <w:p w:rsidR="00F8060B" w:rsidRPr="00601D07" w:rsidRDefault="00F8060B" w:rsidP="00CE4DB9">
            <w:r w:rsidRPr="00601D07">
              <w:t>34</w:t>
            </w:r>
          </w:p>
        </w:tc>
        <w:tc>
          <w:tcPr>
            <w:tcW w:w="1275" w:type="dxa"/>
          </w:tcPr>
          <w:p w:rsidR="00F8060B" w:rsidRPr="00601D07" w:rsidRDefault="00F8060B" w:rsidP="00F8060B">
            <w:r w:rsidRPr="00601D07">
              <w:t>3</w:t>
            </w:r>
          </w:p>
        </w:tc>
        <w:tc>
          <w:tcPr>
            <w:tcW w:w="1276" w:type="dxa"/>
          </w:tcPr>
          <w:p w:rsidR="00F8060B" w:rsidRPr="00601D07" w:rsidRDefault="00F8060B" w:rsidP="00F8060B">
            <w:r w:rsidRPr="00601D07">
              <w:t>1</w:t>
            </w:r>
          </w:p>
        </w:tc>
        <w:tc>
          <w:tcPr>
            <w:tcW w:w="1468" w:type="dxa"/>
            <w:vMerge w:val="restart"/>
          </w:tcPr>
          <w:p w:rsidR="00F8060B" w:rsidRPr="00601D07" w:rsidRDefault="00F8060B" w:rsidP="00CE4DB9">
            <w:r w:rsidRPr="00601D07">
              <w:t>93</w:t>
            </w:r>
          </w:p>
        </w:tc>
      </w:tr>
      <w:tr w:rsidR="00F8060B" w:rsidRPr="00601D07" w:rsidTr="00FC171E">
        <w:trPr>
          <w:trHeight w:val="143"/>
        </w:trPr>
        <w:tc>
          <w:tcPr>
            <w:tcW w:w="1951" w:type="dxa"/>
            <w:vMerge/>
            <w:vAlign w:val="bottom"/>
          </w:tcPr>
          <w:p w:rsidR="00F8060B" w:rsidRPr="00601D07" w:rsidRDefault="00F8060B" w:rsidP="00CE4DB9">
            <w:pPr>
              <w:rPr>
                <w:b/>
              </w:rPr>
            </w:pPr>
          </w:p>
        </w:tc>
        <w:tc>
          <w:tcPr>
            <w:tcW w:w="1134" w:type="dxa"/>
          </w:tcPr>
          <w:p w:rsidR="00F8060B" w:rsidRPr="00601D07" w:rsidRDefault="00F8060B" w:rsidP="00F8060B">
            <w:r w:rsidRPr="00601D07">
              <w:t>18.3</w:t>
            </w:r>
            <w:r w:rsidR="00B40507">
              <w:t>%</w:t>
            </w:r>
          </w:p>
        </w:tc>
        <w:tc>
          <w:tcPr>
            <w:tcW w:w="992" w:type="dxa"/>
          </w:tcPr>
          <w:p w:rsidR="00F8060B" w:rsidRPr="00601D07" w:rsidRDefault="00F8060B" w:rsidP="00F8060B">
            <w:r w:rsidRPr="00601D07">
              <w:t>40.9%</w:t>
            </w:r>
          </w:p>
        </w:tc>
        <w:tc>
          <w:tcPr>
            <w:tcW w:w="993" w:type="dxa"/>
          </w:tcPr>
          <w:p w:rsidR="00F8060B" w:rsidRPr="00601D07" w:rsidRDefault="00F8060B" w:rsidP="00CE4DB9">
            <w:r w:rsidRPr="00601D07">
              <w:t>36.6%</w:t>
            </w:r>
          </w:p>
        </w:tc>
        <w:tc>
          <w:tcPr>
            <w:tcW w:w="1275" w:type="dxa"/>
          </w:tcPr>
          <w:p w:rsidR="00F8060B" w:rsidRPr="00601D07" w:rsidRDefault="00F8060B" w:rsidP="00F8060B">
            <w:r w:rsidRPr="00601D07">
              <w:t>3.2%</w:t>
            </w:r>
          </w:p>
        </w:tc>
        <w:tc>
          <w:tcPr>
            <w:tcW w:w="1276" w:type="dxa"/>
          </w:tcPr>
          <w:p w:rsidR="00F8060B" w:rsidRPr="00601D07" w:rsidRDefault="00F8060B" w:rsidP="00F8060B">
            <w:r w:rsidRPr="00601D07">
              <w:t>1.17%</w:t>
            </w:r>
          </w:p>
        </w:tc>
        <w:tc>
          <w:tcPr>
            <w:tcW w:w="1468" w:type="dxa"/>
            <w:vMerge/>
          </w:tcPr>
          <w:p w:rsidR="00F8060B" w:rsidRPr="00601D07" w:rsidRDefault="00F8060B" w:rsidP="00CE4DB9"/>
        </w:tc>
      </w:tr>
      <w:tr w:rsidR="00F8060B" w:rsidRPr="00601D07" w:rsidTr="00FC171E">
        <w:trPr>
          <w:trHeight w:val="253"/>
        </w:trPr>
        <w:tc>
          <w:tcPr>
            <w:tcW w:w="1951" w:type="dxa"/>
            <w:vMerge w:val="restart"/>
            <w:vAlign w:val="bottom"/>
          </w:tcPr>
          <w:p w:rsidR="00F8060B" w:rsidRPr="00601D07" w:rsidRDefault="00F8060B" w:rsidP="00CE4DB9">
            <w:pPr>
              <w:rPr>
                <w:b/>
              </w:rPr>
            </w:pPr>
            <w:r w:rsidRPr="00601D07">
              <w:rPr>
                <w:b/>
              </w:rPr>
              <w:t>Comprehensive</w:t>
            </w:r>
          </w:p>
          <w:p w:rsidR="00F8060B" w:rsidRPr="00601D07" w:rsidRDefault="00F8060B" w:rsidP="00CE4DB9">
            <w:pPr>
              <w:rPr>
                <w:b/>
              </w:rPr>
            </w:pPr>
          </w:p>
          <w:p w:rsidR="00F8060B" w:rsidRPr="00601D07" w:rsidRDefault="00F8060B" w:rsidP="00CE4DB9">
            <w:pPr>
              <w:rPr>
                <w:b/>
              </w:rPr>
            </w:pPr>
          </w:p>
        </w:tc>
        <w:tc>
          <w:tcPr>
            <w:tcW w:w="1134" w:type="dxa"/>
          </w:tcPr>
          <w:p w:rsidR="00F8060B" w:rsidRPr="00601D07" w:rsidRDefault="00F8060B" w:rsidP="00CE4DB9">
            <w:r w:rsidRPr="00601D07">
              <w:t>7</w:t>
            </w:r>
          </w:p>
        </w:tc>
        <w:tc>
          <w:tcPr>
            <w:tcW w:w="992" w:type="dxa"/>
          </w:tcPr>
          <w:p w:rsidR="00F8060B" w:rsidRPr="00601D07" w:rsidRDefault="00F8060B" w:rsidP="00F8060B">
            <w:r w:rsidRPr="00601D07">
              <w:t>13</w:t>
            </w:r>
          </w:p>
        </w:tc>
        <w:tc>
          <w:tcPr>
            <w:tcW w:w="993" w:type="dxa"/>
          </w:tcPr>
          <w:p w:rsidR="00F8060B" w:rsidRPr="00601D07" w:rsidRDefault="00F8060B" w:rsidP="00CE4DB9">
            <w:r w:rsidRPr="00601D07">
              <w:t>16</w:t>
            </w:r>
          </w:p>
        </w:tc>
        <w:tc>
          <w:tcPr>
            <w:tcW w:w="1275" w:type="dxa"/>
          </w:tcPr>
          <w:p w:rsidR="00F8060B" w:rsidRPr="00601D07" w:rsidRDefault="00F8060B" w:rsidP="00CE4DB9">
            <w:r w:rsidRPr="00601D07">
              <w:t>0</w:t>
            </w:r>
          </w:p>
        </w:tc>
        <w:tc>
          <w:tcPr>
            <w:tcW w:w="1276" w:type="dxa"/>
          </w:tcPr>
          <w:p w:rsidR="00F8060B" w:rsidRPr="00601D07" w:rsidRDefault="00F8060B" w:rsidP="00CE4DB9">
            <w:r w:rsidRPr="00601D07">
              <w:t>0</w:t>
            </w:r>
          </w:p>
        </w:tc>
        <w:tc>
          <w:tcPr>
            <w:tcW w:w="1468" w:type="dxa"/>
            <w:vMerge w:val="restart"/>
          </w:tcPr>
          <w:p w:rsidR="00F8060B" w:rsidRPr="00601D07" w:rsidRDefault="00F8060B" w:rsidP="00CE4DB9">
            <w:r w:rsidRPr="00601D07">
              <w:t>36</w:t>
            </w:r>
          </w:p>
        </w:tc>
      </w:tr>
      <w:tr w:rsidR="00F8060B" w:rsidRPr="00601D07" w:rsidTr="00FC171E">
        <w:trPr>
          <w:trHeight w:val="143"/>
        </w:trPr>
        <w:tc>
          <w:tcPr>
            <w:tcW w:w="1951" w:type="dxa"/>
            <w:vMerge/>
            <w:vAlign w:val="bottom"/>
          </w:tcPr>
          <w:p w:rsidR="00F8060B" w:rsidRPr="00601D07" w:rsidRDefault="00F8060B" w:rsidP="00CE4DB9">
            <w:pPr>
              <w:rPr>
                <w:b/>
              </w:rPr>
            </w:pPr>
          </w:p>
        </w:tc>
        <w:tc>
          <w:tcPr>
            <w:tcW w:w="1134" w:type="dxa"/>
          </w:tcPr>
          <w:p w:rsidR="00F8060B" w:rsidRPr="00601D07" w:rsidRDefault="00F8060B" w:rsidP="00F8060B">
            <w:r w:rsidRPr="00601D07">
              <w:t>19.4%</w:t>
            </w:r>
          </w:p>
        </w:tc>
        <w:tc>
          <w:tcPr>
            <w:tcW w:w="992" w:type="dxa"/>
          </w:tcPr>
          <w:p w:rsidR="00F8060B" w:rsidRPr="00601D07" w:rsidRDefault="00F8060B" w:rsidP="00F8060B">
            <w:r w:rsidRPr="00601D07">
              <w:t>36.1%</w:t>
            </w:r>
          </w:p>
        </w:tc>
        <w:tc>
          <w:tcPr>
            <w:tcW w:w="993" w:type="dxa"/>
          </w:tcPr>
          <w:p w:rsidR="00F8060B" w:rsidRPr="00601D07" w:rsidRDefault="00F8060B" w:rsidP="00CE4DB9">
            <w:r w:rsidRPr="00601D07">
              <w:t>44.4%</w:t>
            </w:r>
          </w:p>
        </w:tc>
        <w:tc>
          <w:tcPr>
            <w:tcW w:w="1275" w:type="dxa"/>
          </w:tcPr>
          <w:p w:rsidR="00F8060B" w:rsidRPr="00601D07" w:rsidRDefault="00F8060B" w:rsidP="00CE4DB9">
            <w:r w:rsidRPr="00601D07">
              <w:t>0.0%</w:t>
            </w:r>
          </w:p>
        </w:tc>
        <w:tc>
          <w:tcPr>
            <w:tcW w:w="1276" w:type="dxa"/>
          </w:tcPr>
          <w:p w:rsidR="00F8060B" w:rsidRPr="00601D07" w:rsidRDefault="00F8060B" w:rsidP="00CE4DB9">
            <w:r w:rsidRPr="00601D07">
              <w:t>0.0%</w:t>
            </w:r>
          </w:p>
        </w:tc>
        <w:tc>
          <w:tcPr>
            <w:tcW w:w="1468" w:type="dxa"/>
            <w:vMerge/>
          </w:tcPr>
          <w:p w:rsidR="00F8060B" w:rsidRPr="00601D07" w:rsidRDefault="00F8060B" w:rsidP="00CE4DB9"/>
        </w:tc>
      </w:tr>
      <w:tr w:rsidR="00F8060B" w:rsidRPr="00601D07" w:rsidTr="00FC171E">
        <w:trPr>
          <w:trHeight w:val="268"/>
        </w:trPr>
        <w:tc>
          <w:tcPr>
            <w:tcW w:w="1951" w:type="dxa"/>
            <w:vMerge w:val="restart"/>
            <w:vAlign w:val="bottom"/>
          </w:tcPr>
          <w:p w:rsidR="00F8060B" w:rsidRPr="00601D07" w:rsidRDefault="00F8060B" w:rsidP="00CE4DB9">
            <w:pPr>
              <w:rPr>
                <w:b/>
              </w:rPr>
            </w:pPr>
            <w:r w:rsidRPr="00601D07">
              <w:rPr>
                <w:b/>
              </w:rPr>
              <w:t>Grammar</w:t>
            </w:r>
          </w:p>
          <w:p w:rsidR="00F8060B" w:rsidRPr="00601D07" w:rsidRDefault="00F8060B" w:rsidP="00CE4DB9">
            <w:pPr>
              <w:rPr>
                <w:b/>
              </w:rPr>
            </w:pPr>
          </w:p>
          <w:p w:rsidR="00F8060B" w:rsidRPr="00601D07" w:rsidRDefault="00F8060B" w:rsidP="00CE4DB9">
            <w:pPr>
              <w:rPr>
                <w:b/>
              </w:rPr>
            </w:pPr>
          </w:p>
        </w:tc>
        <w:tc>
          <w:tcPr>
            <w:tcW w:w="1134" w:type="dxa"/>
          </w:tcPr>
          <w:p w:rsidR="00F8060B" w:rsidRPr="00601D07" w:rsidRDefault="00F8060B" w:rsidP="00CE4DB9">
            <w:r w:rsidRPr="00601D07">
              <w:t>0</w:t>
            </w:r>
          </w:p>
        </w:tc>
        <w:tc>
          <w:tcPr>
            <w:tcW w:w="992" w:type="dxa"/>
          </w:tcPr>
          <w:p w:rsidR="00F8060B" w:rsidRPr="00601D07" w:rsidRDefault="00F8060B" w:rsidP="00CE4DB9">
            <w:r w:rsidRPr="00601D07">
              <w:t>2</w:t>
            </w:r>
          </w:p>
        </w:tc>
        <w:tc>
          <w:tcPr>
            <w:tcW w:w="993" w:type="dxa"/>
          </w:tcPr>
          <w:p w:rsidR="00F8060B" w:rsidRPr="00601D07" w:rsidRDefault="00F8060B" w:rsidP="00CE4DB9">
            <w:r w:rsidRPr="00601D07">
              <w:t>0</w:t>
            </w:r>
          </w:p>
        </w:tc>
        <w:tc>
          <w:tcPr>
            <w:tcW w:w="1275" w:type="dxa"/>
          </w:tcPr>
          <w:p w:rsidR="00F8060B" w:rsidRPr="00601D07" w:rsidRDefault="00F8060B" w:rsidP="00CE4DB9">
            <w:r w:rsidRPr="00601D07">
              <w:t>0</w:t>
            </w:r>
          </w:p>
        </w:tc>
        <w:tc>
          <w:tcPr>
            <w:tcW w:w="1276" w:type="dxa"/>
          </w:tcPr>
          <w:p w:rsidR="00F8060B" w:rsidRPr="00601D07" w:rsidRDefault="00F8060B" w:rsidP="00CE4DB9">
            <w:r w:rsidRPr="00601D07">
              <w:t>0</w:t>
            </w:r>
          </w:p>
        </w:tc>
        <w:tc>
          <w:tcPr>
            <w:tcW w:w="1468" w:type="dxa"/>
            <w:vMerge w:val="restart"/>
          </w:tcPr>
          <w:p w:rsidR="00F8060B" w:rsidRPr="00601D07" w:rsidRDefault="00F8060B" w:rsidP="00CE4DB9">
            <w:r w:rsidRPr="00601D07">
              <w:t>2</w:t>
            </w:r>
          </w:p>
        </w:tc>
      </w:tr>
      <w:tr w:rsidR="00F8060B" w:rsidRPr="00601D07" w:rsidTr="00FC171E">
        <w:trPr>
          <w:trHeight w:val="143"/>
        </w:trPr>
        <w:tc>
          <w:tcPr>
            <w:tcW w:w="1951" w:type="dxa"/>
            <w:vMerge/>
            <w:vAlign w:val="bottom"/>
          </w:tcPr>
          <w:p w:rsidR="00F8060B" w:rsidRPr="00601D07" w:rsidRDefault="00F8060B" w:rsidP="00CE4DB9">
            <w:pPr>
              <w:rPr>
                <w:b/>
              </w:rPr>
            </w:pPr>
          </w:p>
        </w:tc>
        <w:tc>
          <w:tcPr>
            <w:tcW w:w="1134" w:type="dxa"/>
          </w:tcPr>
          <w:p w:rsidR="00F8060B" w:rsidRPr="00601D07" w:rsidRDefault="00F8060B" w:rsidP="00CE4DB9">
            <w:r w:rsidRPr="00601D07">
              <w:t>0.0%</w:t>
            </w:r>
          </w:p>
        </w:tc>
        <w:tc>
          <w:tcPr>
            <w:tcW w:w="992" w:type="dxa"/>
          </w:tcPr>
          <w:p w:rsidR="00F8060B" w:rsidRPr="00601D07" w:rsidRDefault="00F8060B" w:rsidP="00CE4DB9">
            <w:r w:rsidRPr="00601D07">
              <w:t>100.0%</w:t>
            </w:r>
          </w:p>
        </w:tc>
        <w:tc>
          <w:tcPr>
            <w:tcW w:w="993" w:type="dxa"/>
          </w:tcPr>
          <w:p w:rsidR="00F8060B" w:rsidRPr="00601D07" w:rsidRDefault="00F8060B" w:rsidP="00CE4DB9">
            <w:r w:rsidRPr="00601D07">
              <w:t>0.0%</w:t>
            </w:r>
          </w:p>
        </w:tc>
        <w:tc>
          <w:tcPr>
            <w:tcW w:w="1275" w:type="dxa"/>
          </w:tcPr>
          <w:p w:rsidR="00F8060B" w:rsidRPr="00601D07" w:rsidRDefault="00F8060B" w:rsidP="00CE4DB9">
            <w:r w:rsidRPr="00601D07">
              <w:t>0.0%</w:t>
            </w:r>
          </w:p>
        </w:tc>
        <w:tc>
          <w:tcPr>
            <w:tcW w:w="1276" w:type="dxa"/>
          </w:tcPr>
          <w:p w:rsidR="00F8060B" w:rsidRPr="00601D07" w:rsidRDefault="00F8060B" w:rsidP="00CE4DB9">
            <w:r w:rsidRPr="00601D07">
              <w:t>0.0%</w:t>
            </w:r>
          </w:p>
        </w:tc>
        <w:tc>
          <w:tcPr>
            <w:tcW w:w="1468" w:type="dxa"/>
            <w:vMerge/>
          </w:tcPr>
          <w:p w:rsidR="00F8060B" w:rsidRPr="00601D07" w:rsidRDefault="00F8060B" w:rsidP="00CE4DB9"/>
        </w:tc>
      </w:tr>
      <w:tr w:rsidR="00F8060B" w:rsidRPr="00601D07" w:rsidTr="00FC171E">
        <w:trPr>
          <w:trHeight w:val="268"/>
        </w:trPr>
        <w:tc>
          <w:tcPr>
            <w:tcW w:w="1951" w:type="dxa"/>
            <w:vMerge w:val="restart"/>
            <w:vAlign w:val="bottom"/>
          </w:tcPr>
          <w:p w:rsidR="00F8060B" w:rsidRPr="00601D07" w:rsidRDefault="00F8060B" w:rsidP="00CE4DB9">
            <w:pPr>
              <w:rPr>
                <w:b/>
              </w:rPr>
            </w:pPr>
            <w:r w:rsidRPr="00601D07">
              <w:rPr>
                <w:b/>
              </w:rPr>
              <w:t>Independent</w:t>
            </w:r>
          </w:p>
          <w:p w:rsidR="00F8060B" w:rsidRPr="00601D07" w:rsidRDefault="00F8060B" w:rsidP="00CE4DB9">
            <w:pPr>
              <w:rPr>
                <w:b/>
              </w:rPr>
            </w:pPr>
          </w:p>
          <w:p w:rsidR="00F8060B" w:rsidRPr="00601D07" w:rsidRDefault="00F8060B" w:rsidP="00CE4DB9">
            <w:pPr>
              <w:rPr>
                <w:b/>
              </w:rPr>
            </w:pPr>
          </w:p>
        </w:tc>
        <w:tc>
          <w:tcPr>
            <w:tcW w:w="1134" w:type="dxa"/>
          </w:tcPr>
          <w:p w:rsidR="00F8060B" w:rsidRPr="00601D07" w:rsidRDefault="00F8060B" w:rsidP="00CE4DB9">
            <w:r w:rsidRPr="00601D07">
              <w:t>0</w:t>
            </w:r>
          </w:p>
        </w:tc>
        <w:tc>
          <w:tcPr>
            <w:tcW w:w="992" w:type="dxa"/>
          </w:tcPr>
          <w:p w:rsidR="00F8060B" w:rsidRPr="00601D07" w:rsidRDefault="00F8060B" w:rsidP="00F8060B">
            <w:r w:rsidRPr="00601D07">
              <w:t>1</w:t>
            </w:r>
          </w:p>
        </w:tc>
        <w:tc>
          <w:tcPr>
            <w:tcW w:w="993" w:type="dxa"/>
          </w:tcPr>
          <w:p w:rsidR="00F8060B" w:rsidRPr="00601D07" w:rsidRDefault="00F8060B" w:rsidP="00CE4DB9">
            <w:r w:rsidRPr="00601D07">
              <w:t>0</w:t>
            </w:r>
          </w:p>
        </w:tc>
        <w:tc>
          <w:tcPr>
            <w:tcW w:w="1275" w:type="dxa"/>
          </w:tcPr>
          <w:p w:rsidR="00F8060B" w:rsidRPr="00601D07" w:rsidRDefault="00F8060B" w:rsidP="00CE4DB9">
            <w:r w:rsidRPr="00601D07">
              <w:t>0</w:t>
            </w:r>
          </w:p>
        </w:tc>
        <w:tc>
          <w:tcPr>
            <w:tcW w:w="1276" w:type="dxa"/>
          </w:tcPr>
          <w:p w:rsidR="00F8060B" w:rsidRPr="00601D07" w:rsidRDefault="00F8060B" w:rsidP="00CE4DB9">
            <w:r w:rsidRPr="00601D07">
              <w:t>3</w:t>
            </w:r>
          </w:p>
        </w:tc>
        <w:tc>
          <w:tcPr>
            <w:tcW w:w="1468" w:type="dxa"/>
            <w:vMerge w:val="restart"/>
          </w:tcPr>
          <w:p w:rsidR="00F8060B" w:rsidRPr="00601D07" w:rsidRDefault="00F8060B" w:rsidP="00F8060B">
            <w:r w:rsidRPr="00601D07">
              <w:t>1</w:t>
            </w:r>
          </w:p>
        </w:tc>
      </w:tr>
      <w:tr w:rsidR="00F8060B" w:rsidRPr="00601D07" w:rsidTr="00FC171E">
        <w:trPr>
          <w:trHeight w:val="143"/>
        </w:trPr>
        <w:tc>
          <w:tcPr>
            <w:tcW w:w="1951" w:type="dxa"/>
            <w:vMerge/>
            <w:vAlign w:val="bottom"/>
          </w:tcPr>
          <w:p w:rsidR="00F8060B" w:rsidRPr="00601D07" w:rsidRDefault="00F8060B" w:rsidP="00CE4DB9">
            <w:pPr>
              <w:rPr>
                <w:b/>
              </w:rPr>
            </w:pPr>
          </w:p>
        </w:tc>
        <w:tc>
          <w:tcPr>
            <w:tcW w:w="1134" w:type="dxa"/>
          </w:tcPr>
          <w:p w:rsidR="00F8060B" w:rsidRPr="00601D07" w:rsidRDefault="00F8060B" w:rsidP="00CE4DB9">
            <w:r w:rsidRPr="00601D07">
              <w:t>0.0%</w:t>
            </w:r>
          </w:p>
        </w:tc>
        <w:tc>
          <w:tcPr>
            <w:tcW w:w="992" w:type="dxa"/>
          </w:tcPr>
          <w:p w:rsidR="00F8060B" w:rsidRPr="00601D07" w:rsidRDefault="00F8060B" w:rsidP="00CE4DB9">
            <w:r w:rsidRPr="00601D07">
              <w:t>100.0%</w:t>
            </w:r>
          </w:p>
        </w:tc>
        <w:tc>
          <w:tcPr>
            <w:tcW w:w="993" w:type="dxa"/>
          </w:tcPr>
          <w:p w:rsidR="00F8060B" w:rsidRPr="00601D07" w:rsidRDefault="00F8060B" w:rsidP="00CE4DB9">
            <w:r w:rsidRPr="00601D07">
              <w:t>0.0%</w:t>
            </w:r>
          </w:p>
        </w:tc>
        <w:tc>
          <w:tcPr>
            <w:tcW w:w="1275" w:type="dxa"/>
          </w:tcPr>
          <w:p w:rsidR="00F8060B" w:rsidRPr="00601D07" w:rsidRDefault="00F8060B" w:rsidP="00CE4DB9">
            <w:r w:rsidRPr="00601D07">
              <w:t>0.0%</w:t>
            </w:r>
          </w:p>
        </w:tc>
        <w:tc>
          <w:tcPr>
            <w:tcW w:w="1276" w:type="dxa"/>
          </w:tcPr>
          <w:p w:rsidR="00F8060B" w:rsidRPr="00601D07" w:rsidRDefault="00F8060B" w:rsidP="00CE4DB9">
            <w:r w:rsidRPr="00601D07">
              <w:t>0.0%</w:t>
            </w:r>
          </w:p>
        </w:tc>
        <w:tc>
          <w:tcPr>
            <w:tcW w:w="1468" w:type="dxa"/>
            <w:vMerge/>
          </w:tcPr>
          <w:p w:rsidR="00F8060B" w:rsidRPr="00601D07" w:rsidRDefault="00F8060B" w:rsidP="00CE4DB9"/>
        </w:tc>
      </w:tr>
      <w:tr w:rsidR="00F8060B" w:rsidRPr="00601D07" w:rsidTr="00FC171E">
        <w:trPr>
          <w:trHeight w:val="253"/>
        </w:trPr>
        <w:tc>
          <w:tcPr>
            <w:tcW w:w="1951" w:type="dxa"/>
            <w:vMerge w:val="restart"/>
            <w:vAlign w:val="bottom"/>
          </w:tcPr>
          <w:p w:rsidR="00F8060B" w:rsidRPr="00601D07" w:rsidRDefault="00F8060B" w:rsidP="00CE4DB9">
            <w:pPr>
              <w:rPr>
                <w:b/>
              </w:rPr>
            </w:pPr>
            <w:r w:rsidRPr="00601D07">
              <w:rPr>
                <w:b/>
              </w:rPr>
              <w:t xml:space="preserve">Academy </w:t>
            </w:r>
            <w:r w:rsidR="00FC171E" w:rsidRPr="00601D07">
              <w:rPr>
                <w:b/>
              </w:rPr>
              <w:br/>
            </w:r>
            <w:r w:rsidRPr="00601D07">
              <w:rPr>
                <w:b/>
              </w:rPr>
              <w:t>(old style)</w:t>
            </w:r>
          </w:p>
          <w:p w:rsidR="00F8060B" w:rsidRPr="00601D07" w:rsidRDefault="00F8060B" w:rsidP="00CE4DB9">
            <w:pPr>
              <w:rPr>
                <w:b/>
              </w:rPr>
            </w:pPr>
          </w:p>
        </w:tc>
        <w:tc>
          <w:tcPr>
            <w:tcW w:w="1134" w:type="dxa"/>
          </w:tcPr>
          <w:p w:rsidR="00F8060B" w:rsidRPr="00601D07" w:rsidRDefault="00F8060B" w:rsidP="00CE4DB9">
            <w:r w:rsidRPr="00601D07">
              <w:t>1</w:t>
            </w:r>
          </w:p>
        </w:tc>
        <w:tc>
          <w:tcPr>
            <w:tcW w:w="992" w:type="dxa"/>
          </w:tcPr>
          <w:p w:rsidR="00F8060B" w:rsidRPr="00601D07" w:rsidRDefault="00F8060B" w:rsidP="00F8060B">
            <w:r w:rsidRPr="00601D07">
              <w:t>4</w:t>
            </w:r>
          </w:p>
        </w:tc>
        <w:tc>
          <w:tcPr>
            <w:tcW w:w="993" w:type="dxa"/>
          </w:tcPr>
          <w:p w:rsidR="00F8060B" w:rsidRPr="00601D07" w:rsidRDefault="00F8060B" w:rsidP="00CE4DB9">
            <w:r w:rsidRPr="00601D07">
              <w:t>5</w:t>
            </w:r>
          </w:p>
        </w:tc>
        <w:tc>
          <w:tcPr>
            <w:tcW w:w="1275" w:type="dxa"/>
          </w:tcPr>
          <w:p w:rsidR="00F8060B" w:rsidRPr="00601D07" w:rsidRDefault="00F8060B" w:rsidP="00F8060B">
            <w:r w:rsidRPr="00601D07">
              <w:t>1</w:t>
            </w:r>
          </w:p>
        </w:tc>
        <w:tc>
          <w:tcPr>
            <w:tcW w:w="1276" w:type="dxa"/>
          </w:tcPr>
          <w:p w:rsidR="00F8060B" w:rsidRPr="00601D07" w:rsidRDefault="00F8060B" w:rsidP="00CE4DB9">
            <w:r w:rsidRPr="00601D07">
              <w:t>0</w:t>
            </w:r>
          </w:p>
        </w:tc>
        <w:tc>
          <w:tcPr>
            <w:tcW w:w="1468" w:type="dxa"/>
            <w:vMerge w:val="restart"/>
          </w:tcPr>
          <w:p w:rsidR="00F8060B" w:rsidRPr="00601D07" w:rsidRDefault="00F8060B" w:rsidP="00CE4DB9">
            <w:r w:rsidRPr="00601D07">
              <w:t>10</w:t>
            </w:r>
          </w:p>
        </w:tc>
      </w:tr>
      <w:tr w:rsidR="00F8060B" w:rsidRPr="00601D07" w:rsidTr="00FC171E">
        <w:trPr>
          <w:trHeight w:val="143"/>
        </w:trPr>
        <w:tc>
          <w:tcPr>
            <w:tcW w:w="1951" w:type="dxa"/>
            <w:vMerge/>
            <w:vAlign w:val="bottom"/>
          </w:tcPr>
          <w:p w:rsidR="00F8060B" w:rsidRPr="00601D07" w:rsidRDefault="00F8060B" w:rsidP="00CE4DB9">
            <w:pPr>
              <w:rPr>
                <w:b/>
              </w:rPr>
            </w:pPr>
          </w:p>
        </w:tc>
        <w:tc>
          <w:tcPr>
            <w:tcW w:w="1134" w:type="dxa"/>
          </w:tcPr>
          <w:p w:rsidR="00F8060B" w:rsidRPr="00601D07" w:rsidRDefault="00F8060B" w:rsidP="00F8060B">
            <w:r w:rsidRPr="00601D07">
              <w:t>9.1%</w:t>
            </w:r>
          </w:p>
        </w:tc>
        <w:tc>
          <w:tcPr>
            <w:tcW w:w="992" w:type="dxa"/>
          </w:tcPr>
          <w:p w:rsidR="00F8060B" w:rsidRPr="00601D07" w:rsidRDefault="00F8060B" w:rsidP="00F8060B">
            <w:r w:rsidRPr="00601D07">
              <w:t>36.4%%</w:t>
            </w:r>
          </w:p>
        </w:tc>
        <w:tc>
          <w:tcPr>
            <w:tcW w:w="993" w:type="dxa"/>
          </w:tcPr>
          <w:p w:rsidR="00F8060B" w:rsidRPr="00601D07" w:rsidRDefault="00F8060B" w:rsidP="00CE4DB9">
            <w:r w:rsidRPr="00601D07">
              <w:t>45.5%</w:t>
            </w:r>
          </w:p>
        </w:tc>
        <w:tc>
          <w:tcPr>
            <w:tcW w:w="1275" w:type="dxa"/>
          </w:tcPr>
          <w:p w:rsidR="00F8060B" w:rsidRPr="00601D07" w:rsidRDefault="00F8060B" w:rsidP="00F8060B">
            <w:r w:rsidRPr="00601D07">
              <w:t>9.1%</w:t>
            </w:r>
          </w:p>
        </w:tc>
        <w:tc>
          <w:tcPr>
            <w:tcW w:w="1276" w:type="dxa"/>
          </w:tcPr>
          <w:p w:rsidR="00F8060B" w:rsidRPr="00601D07" w:rsidRDefault="00F8060B" w:rsidP="00CE4DB9">
            <w:r w:rsidRPr="00601D07">
              <w:t>0.0%</w:t>
            </w:r>
          </w:p>
        </w:tc>
        <w:tc>
          <w:tcPr>
            <w:tcW w:w="1468" w:type="dxa"/>
            <w:vMerge/>
          </w:tcPr>
          <w:p w:rsidR="00F8060B" w:rsidRPr="00601D07" w:rsidRDefault="00F8060B" w:rsidP="00CE4DB9"/>
        </w:tc>
      </w:tr>
      <w:tr w:rsidR="00F8060B" w:rsidRPr="00601D07" w:rsidTr="00FC171E">
        <w:trPr>
          <w:trHeight w:val="253"/>
        </w:trPr>
        <w:tc>
          <w:tcPr>
            <w:tcW w:w="1951" w:type="dxa"/>
            <w:vMerge w:val="restart"/>
            <w:vAlign w:val="bottom"/>
          </w:tcPr>
          <w:p w:rsidR="00F8060B" w:rsidRPr="00601D07" w:rsidRDefault="00F8060B" w:rsidP="00CE4DB9">
            <w:pPr>
              <w:rPr>
                <w:b/>
              </w:rPr>
            </w:pPr>
            <w:r w:rsidRPr="00601D07">
              <w:rPr>
                <w:b/>
              </w:rPr>
              <w:t xml:space="preserve">Academy (new) </w:t>
            </w:r>
          </w:p>
          <w:p w:rsidR="00F8060B" w:rsidRPr="00601D07" w:rsidRDefault="00F8060B" w:rsidP="00CE4DB9">
            <w:pPr>
              <w:rPr>
                <w:b/>
              </w:rPr>
            </w:pPr>
          </w:p>
          <w:p w:rsidR="00F8060B" w:rsidRPr="00601D07" w:rsidRDefault="00F8060B" w:rsidP="00CE4DB9">
            <w:pPr>
              <w:rPr>
                <w:b/>
              </w:rPr>
            </w:pPr>
          </w:p>
        </w:tc>
        <w:tc>
          <w:tcPr>
            <w:tcW w:w="1134" w:type="dxa"/>
          </w:tcPr>
          <w:p w:rsidR="00F8060B" w:rsidRPr="00601D07" w:rsidRDefault="00F8060B" w:rsidP="00F8060B">
            <w:r w:rsidRPr="00601D07">
              <w:t>9</w:t>
            </w:r>
          </w:p>
        </w:tc>
        <w:tc>
          <w:tcPr>
            <w:tcW w:w="992" w:type="dxa"/>
          </w:tcPr>
          <w:p w:rsidR="00F8060B" w:rsidRPr="00601D07" w:rsidRDefault="00F8060B" w:rsidP="00F8060B">
            <w:r w:rsidRPr="00601D07">
              <w:t>18</w:t>
            </w:r>
          </w:p>
        </w:tc>
        <w:tc>
          <w:tcPr>
            <w:tcW w:w="993" w:type="dxa"/>
          </w:tcPr>
          <w:p w:rsidR="00F8060B" w:rsidRPr="00601D07" w:rsidRDefault="00F8060B" w:rsidP="00CE4DB9">
            <w:r w:rsidRPr="00601D07">
              <w:t>13</w:t>
            </w:r>
          </w:p>
        </w:tc>
        <w:tc>
          <w:tcPr>
            <w:tcW w:w="1275" w:type="dxa"/>
          </w:tcPr>
          <w:p w:rsidR="00F8060B" w:rsidRPr="00601D07" w:rsidRDefault="00F8060B" w:rsidP="00F8060B">
            <w:r w:rsidRPr="00601D07">
              <w:t>2</w:t>
            </w:r>
          </w:p>
        </w:tc>
        <w:tc>
          <w:tcPr>
            <w:tcW w:w="1276" w:type="dxa"/>
          </w:tcPr>
          <w:p w:rsidR="00F8060B" w:rsidRPr="00601D07" w:rsidRDefault="00F8060B" w:rsidP="00F8060B">
            <w:r w:rsidRPr="00601D07">
              <w:t>1</w:t>
            </w:r>
          </w:p>
        </w:tc>
        <w:tc>
          <w:tcPr>
            <w:tcW w:w="1468" w:type="dxa"/>
            <w:vMerge w:val="restart"/>
          </w:tcPr>
          <w:p w:rsidR="00F8060B" w:rsidRPr="00601D07" w:rsidRDefault="00F8060B" w:rsidP="00F8060B">
            <w:r w:rsidRPr="00601D07">
              <w:t>43</w:t>
            </w:r>
          </w:p>
        </w:tc>
      </w:tr>
      <w:tr w:rsidR="00F8060B" w:rsidRPr="00601D07" w:rsidTr="00FC171E">
        <w:trPr>
          <w:trHeight w:val="143"/>
        </w:trPr>
        <w:tc>
          <w:tcPr>
            <w:tcW w:w="1951" w:type="dxa"/>
            <w:vMerge/>
            <w:vAlign w:val="bottom"/>
          </w:tcPr>
          <w:p w:rsidR="00F8060B" w:rsidRPr="00601D07" w:rsidRDefault="00F8060B" w:rsidP="00CE4DB9">
            <w:pPr>
              <w:rPr>
                <w:rFonts w:ascii="Microsoft Sans Serif" w:eastAsia="Times New Roman" w:hAnsi="Microsoft Sans Serif" w:cs="Microsoft Sans Serif"/>
                <w:b/>
                <w:bCs/>
                <w:sz w:val="20"/>
                <w:szCs w:val="20"/>
                <w:lang w:eastAsia="en-GB"/>
              </w:rPr>
            </w:pPr>
          </w:p>
        </w:tc>
        <w:tc>
          <w:tcPr>
            <w:tcW w:w="1134" w:type="dxa"/>
          </w:tcPr>
          <w:p w:rsidR="00F8060B" w:rsidRPr="00601D07" w:rsidRDefault="00B40507" w:rsidP="00F8060B">
            <w:r>
              <w:t>20.9%</w:t>
            </w:r>
          </w:p>
        </w:tc>
        <w:tc>
          <w:tcPr>
            <w:tcW w:w="992" w:type="dxa"/>
          </w:tcPr>
          <w:p w:rsidR="00F8060B" w:rsidRPr="00601D07" w:rsidRDefault="00F8060B" w:rsidP="00F8060B">
            <w:r w:rsidRPr="00601D07">
              <w:t>41.9%</w:t>
            </w:r>
          </w:p>
        </w:tc>
        <w:tc>
          <w:tcPr>
            <w:tcW w:w="993" w:type="dxa"/>
          </w:tcPr>
          <w:p w:rsidR="00F8060B" w:rsidRPr="00601D07" w:rsidRDefault="00F8060B" w:rsidP="00CE4DB9">
            <w:r w:rsidRPr="00601D07">
              <w:t>30.2%</w:t>
            </w:r>
          </w:p>
        </w:tc>
        <w:tc>
          <w:tcPr>
            <w:tcW w:w="1275" w:type="dxa"/>
          </w:tcPr>
          <w:p w:rsidR="00F8060B" w:rsidRPr="00601D07" w:rsidRDefault="00F8060B" w:rsidP="00F8060B">
            <w:r w:rsidRPr="00601D07">
              <w:t>4.7%</w:t>
            </w:r>
          </w:p>
        </w:tc>
        <w:tc>
          <w:tcPr>
            <w:tcW w:w="1276" w:type="dxa"/>
          </w:tcPr>
          <w:p w:rsidR="00F8060B" w:rsidRPr="00601D07" w:rsidRDefault="00F8060B" w:rsidP="00F8060B">
            <w:r w:rsidRPr="00601D07">
              <w:t>2.3%</w:t>
            </w:r>
          </w:p>
        </w:tc>
        <w:tc>
          <w:tcPr>
            <w:tcW w:w="1468" w:type="dxa"/>
            <w:vMerge/>
          </w:tcPr>
          <w:p w:rsidR="00F8060B" w:rsidRPr="00601D07" w:rsidRDefault="00F8060B" w:rsidP="00CE4DB9"/>
        </w:tc>
      </w:tr>
    </w:tbl>
    <w:p w:rsidR="00F8060B" w:rsidRPr="00601D07" w:rsidRDefault="00B40507" w:rsidP="000C2197">
      <w:pPr>
        <w:jc w:val="both"/>
      </w:pPr>
      <w:r>
        <w:br/>
      </w:r>
    </w:p>
    <w:p w:rsidR="00576EC3" w:rsidRPr="00601D07" w:rsidRDefault="00E46D78" w:rsidP="000C2197">
      <w:pPr>
        <w:jc w:val="both"/>
        <w:rPr>
          <w:b/>
          <w:sz w:val="24"/>
          <w:szCs w:val="24"/>
        </w:rPr>
      </w:pPr>
      <w:r>
        <w:rPr>
          <w:b/>
          <w:sz w:val="24"/>
          <w:szCs w:val="24"/>
        </w:rPr>
        <w:t xml:space="preserve">4.2 </w:t>
      </w:r>
      <w:r w:rsidR="00576EC3" w:rsidRPr="00601D07">
        <w:rPr>
          <w:b/>
          <w:sz w:val="24"/>
          <w:szCs w:val="24"/>
        </w:rPr>
        <w:t>Patterns of uptake and class sizes at GCSE</w:t>
      </w:r>
    </w:p>
    <w:p w:rsidR="00576EC3" w:rsidRPr="00601D07" w:rsidRDefault="00576EC3" w:rsidP="000C2197">
      <w:pPr>
        <w:jc w:val="both"/>
      </w:pPr>
      <w:r w:rsidRPr="00601D07">
        <w:t xml:space="preserve">In nearly half of the schools overall, respondents report a rise in numbers taking GCSE history; the proportion reporting such a rise is higher in comprehensives and academies, although the smaller growth in independent and grammar schools may be </w:t>
      </w:r>
      <w:r w:rsidR="002B1415">
        <w:t>due to the large numbers who have traditionally opted for the subject within these contexts.</w:t>
      </w:r>
      <w:r w:rsidRPr="00601D07">
        <w:t>.  Over 50% of respondents overall report more GCSE classes being created, but at the same time over 45% of schools report an increase in average class size, with the majority of classes having 25-30 students, except for independent and grammar schools where the majority of classes have fewer than 25 students.</w:t>
      </w:r>
    </w:p>
    <w:p w:rsidR="00576EC3" w:rsidRPr="00601D07" w:rsidRDefault="00576EC3" w:rsidP="000C2197">
      <w:pPr>
        <w:jc w:val="both"/>
      </w:pPr>
      <w:r w:rsidRPr="00601D07">
        <w:t>Interesting</w:t>
      </w:r>
      <w:r w:rsidR="00077DC3" w:rsidRPr="00601D07">
        <w:t xml:space="preserve">ly, </w:t>
      </w:r>
      <w:r w:rsidRPr="00601D07">
        <w:t xml:space="preserve">the percentage of the year group who opt for history is significantly different between schools that offer a two-year and three-year </w:t>
      </w:r>
      <w:r w:rsidR="00F8060B" w:rsidRPr="00601D07">
        <w:t>Key Stage 3</w:t>
      </w:r>
      <w:r w:rsidR="00077DC3" w:rsidRPr="00601D07">
        <w:t>. In schools with a shorter two-</w:t>
      </w:r>
      <w:r w:rsidRPr="00601D07">
        <w:t xml:space="preserve">year </w:t>
      </w:r>
      <w:r w:rsidR="00F8060B" w:rsidRPr="00601D07">
        <w:t>Key Stage 3</w:t>
      </w:r>
      <w:r w:rsidR="00563966">
        <w:t xml:space="preserve"> (see Figure 7</w:t>
      </w:r>
      <w:r w:rsidR="00A41DC4" w:rsidRPr="00601D07">
        <w:t>)</w:t>
      </w:r>
      <w:r w:rsidR="00077DC3" w:rsidRPr="00601D07">
        <w:t>,</w:t>
      </w:r>
      <w:r w:rsidRPr="00601D07">
        <w:t xml:space="preserve"> just over 50% of schools report more than a third of the cohort studying history, whereas the figure is nearer 80% for schools with a traditional </w:t>
      </w:r>
      <w:r w:rsidR="006E7081" w:rsidRPr="00601D07">
        <w:t>three-year</w:t>
      </w:r>
      <w:r w:rsidRPr="00601D07">
        <w:t xml:space="preserve"> </w:t>
      </w:r>
      <w:r w:rsidR="00F8060B" w:rsidRPr="00601D07">
        <w:t>Key Stage 3</w:t>
      </w:r>
      <w:r w:rsidR="00A41DC4" w:rsidRPr="00601D07">
        <w:t xml:space="preserve"> (see Figure </w:t>
      </w:r>
      <w:r w:rsidR="00563966">
        <w:t>8</w:t>
      </w:r>
      <w:r w:rsidR="00A41DC4" w:rsidRPr="00601D07">
        <w:t>)</w:t>
      </w:r>
      <w:r w:rsidRPr="00601D07">
        <w:t xml:space="preserve">. There are clearly differences by type of school, however recruitment across all types of schools is stronger where there is a </w:t>
      </w:r>
      <w:r w:rsidR="00485F03" w:rsidRPr="00601D07">
        <w:t xml:space="preserve">more traditional </w:t>
      </w:r>
      <w:r w:rsidRPr="00601D07">
        <w:t xml:space="preserve">three-year </w:t>
      </w:r>
      <w:r w:rsidR="00F8060B" w:rsidRPr="00601D07">
        <w:t>Key Stage 3</w:t>
      </w:r>
      <w:r w:rsidRPr="00601D07">
        <w:t>.</w:t>
      </w:r>
      <w:r w:rsidR="00B40507">
        <w:rPr>
          <w:rStyle w:val="FootnoteReference"/>
        </w:rPr>
        <w:footnoteReference w:id="3"/>
      </w:r>
      <w:r w:rsidRPr="00601D07">
        <w:t xml:space="preserve"> </w:t>
      </w:r>
      <w:r w:rsidR="00ED2F51">
        <w:t xml:space="preserve">While we have no specific data that can explain the reasons for this phenomenon, it is quite possible that students who have only studied the subject for two years, and whose experience may therefore have been of a rather crowded and rushed curriculum, are less likely to develop a strong sense of engagement or interest in the subject. </w:t>
      </w:r>
    </w:p>
    <w:p w:rsidR="00F8060B" w:rsidRPr="00601D07" w:rsidRDefault="00F8060B" w:rsidP="000C2197">
      <w:pPr>
        <w:spacing w:line="240" w:lineRule="auto"/>
        <w:jc w:val="both"/>
        <w:rPr>
          <w:i/>
        </w:rPr>
      </w:pPr>
      <w:r w:rsidRPr="00601D07">
        <w:rPr>
          <w:i/>
        </w:rPr>
        <w:lastRenderedPageBreak/>
        <w:t xml:space="preserve">Figure </w:t>
      </w:r>
      <w:r w:rsidR="00785EBF">
        <w:rPr>
          <w:i/>
        </w:rPr>
        <w:t>7</w:t>
      </w:r>
      <w:r w:rsidR="00FC171E" w:rsidRPr="00601D07">
        <w:rPr>
          <w:i/>
        </w:rPr>
        <w:t>: 2013</w:t>
      </w:r>
      <w:r w:rsidRPr="00601D07">
        <w:rPr>
          <w:i/>
        </w:rPr>
        <w:t xml:space="preserve"> Percentage of </w:t>
      </w:r>
      <w:r w:rsidR="00FC171E" w:rsidRPr="00601D07">
        <w:rPr>
          <w:i/>
        </w:rPr>
        <w:t xml:space="preserve">Year 10 </w:t>
      </w:r>
      <w:r w:rsidRPr="00601D07">
        <w:rPr>
          <w:i/>
        </w:rPr>
        <w:t xml:space="preserve">students in schools with a </w:t>
      </w:r>
      <w:r w:rsidRPr="00601D07">
        <w:rPr>
          <w:b/>
          <w:i/>
        </w:rPr>
        <w:t>two-year</w:t>
      </w:r>
      <w:r w:rsidRPr="00601D07">
        <w:rPr>
          <w:i/>
        </w:rPr>
        <w:t xml:space="preserve"> Key Stage 4</w:t>
      </w:r>
      <w:r w:rsidR="00FC171E" w:rsidRPr="00601D07">
        <w:rPr>
          <w:i/>
        </w:rPr>
        <w:t xml:space="preserve"> who </w:t>
      </w:r>
      <w:r w:rsidR="000C2197">
        <w:rPr>
          <w:i/>
        </w:rPr>
        <w:br/>
      </w:r>
      <w:r w:rsidR="00FC171E" w:rsidRPr="00601D07">
        <w:rPr>
          <w:i/>
        </w:rPr>
        <w:t>are studying history</w:t>
      </w:r>
    </w:p>
    <w:p w:rsidR="00576EC3" w:rsidRDefault="00F8060B" w:rsidP="000C2197">
      <w:pPr>
        <w:jc w:val="both"/>
        <w:rPr>
          <w:b/>
          <w:color w:val="FF0000"/>
          <w:sz w:val="24"/>
          <w:szCs w:val="24"/>
        </w:rPr>
      </w:pPr>
      <w:r>
        <w:rPr>
          <w:noProof/>
          <w:lang w:eastAsia="en-GB"/>
        </w:rPr>
        <w:drawing>
          <wp:inline distT="0" distB="0" distL="0" distR="0">
            <wp:extent cx="5424055" cy="2701636"/>
            <wp:effectExtent l="0" t="0" r="24765"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060B" w:rsidRPr="00F8060B" w:rsidRDefault="00F8060B" w:rsidP="000C2197">
      <w:pPr>
        <w:spacing w:line="240" w:lineRule="auto"/>
        <w:jc w:val="both"/>
        <w:rPr>
          <w:i/>
        </w:rPr>
      </w:pPr>
      <w:r>
        <w:rPr>
          <w:i/>
        </w:rPr>
        <w:t xml:space="preserve">Figure </w:t>
      </w:r>
      <w:r w:rsidR="00785EBF">
        <w:rPr>
          <w:i/>
        </w:rPr>
        <w:t>8</w:t>
      </w:r>
      <w:r w:rsidR="00FC171E">
        <w:rPr>
          <w:i/>
        </w:rPr>
        <w:t>: 2013</w:t>
      </w:r>
      <w:r>
        <w:rPr>
          <w:i/>
        </w:rPr>
        <w:t xml:space="preserve"> Percentage of students in Y</w:t>
      </w:r>
      <w:r w:rsidR="00FC171E">
        <w:rPr>
          <w:i/>
        </w:rPr>
        <w:t xml:space="preserve">ear 10 </w:t>
      </w:r>
      <w:r>
        <w:rPr>
          <w:i/>
        </w:rPr>
        <w:t xml:space="preserve">in schools with a </w:t>
      </w:r>
      <w:r w:rsidRPr="00A41DC4">
        <w:rPr>
          <w:b/>
          <w:i/>
        </w:rPr>
        <w:t>three-year</w:t>
      </w:r>
      <w:r>
        <w:rPr>
          <w:i/>
        </w:rPr>
        <w:t xml:space="preserve"> Key Stage 4</w:t>
      </w:r>
      <w:r w:rsidR="00A41DC4">
        <w:rPr>
          <w:i/>
        </w:rPr>
        <w:t xml:space="preserve"> who are </w:t>
      </w:r>
      <w:r w:rsidR="000C2197">
        <w:rPr>
          <w:i/>
        </w:rPr>
        <w:br/>
      </w:r>
      <w:r w:rsidR="00A41DC4">
        <w:rPr>
          <w:i/>
        </w:rPr>
        <w:t>studying history</w:t>
      </w:r>
    </w:p>
    <w:p w:rsidR="00F8060B" w:rsidRPr="00576EC3" w:rsidRDefault="00F8060B" w:rsidP="000C2197">
      <w:pPr>
        <w:jc w:val="both"/>
        <w:rPr>
          <w:b/>
          <w:color w:val="FF0000"/>
          <w:sz w:val="24"/>
          <w:szCs w:val="24"/>
        </w:rPr>
      </w:pPr>
      <w:r>
        <w:rPr>
          <w:noProof/>
          <w:lang w:eastAsia="en-GB"/>
        </w:rPr>
        <w:drawing>
          <wp:inline distT="0" distB="0" distL="0" distR="0">
            <wp:extent cx="5181600" cy="31337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6BFE" w:rsidRPr="00DC2837" w:rsidRDefault="00E46D78" w:rsidP="000C2197">
      <w:pPr>
        <w:jc w:val="both"/>
        <w:rPr>
          <w:b/>
          <w:sz w:val="24"/>
          <w:szCs w:val="24"/>
        </w:rPr>
      </w:pPr>
      <w:r>
        <w:rPr>
          <w:b/>
          <w:sz w:val="24"/>
          <w:szCs w:val="24"/>
        </w:rPr>
        <w:t xml:space="preserve">4.3 </w:t>
      </w:r>
      <w:r w:rsidR="0009298A" w:rsidRPr="00DC2837">
        <w:rPr>
          <w:b/>
          <w:sz w:val="24"/>
          <w:szCs w:val="24"/>
        </w:rPr>
        <w:t xml:space="preserve">The extent of </w:t>
      </w:r>
      <w:r w:rsidR="00F16BFE" w:rsidRPr="00DC2837">
        <w:rPr>
          <w:b/>
          <w:sz w:val="24"/>
          <w:szCs w:val="24"/>
        </w:rPr>
        <w:t>non-specialist teaching at GCSE</w:t>
      </w:r>
    </w:p>
    <w:p w:rsidR="0009298A" w:rsidRDefault="0009298A" w:rsidP="000C2197">
      <w:pPr>
        <w:jc w:val="both"/>
      </w:pPr>
      <w:r>
        <w:t>In line with concerns expressed last year that the increase in GCSE numbers (prompted in part by the introduction of the ‘E-</w:t>
      </w:r>
      <w:proofErr w:type="spellStart"/>
      <w:r>
        <w:t>Bacc</w:t>
      </w:r>
      <w:proofErr w:type="spellEnd"/>
      <w:r>
        <w:t xml:space="preserve">’ measure of schools’ effectiveness) might lead to an increase in the number of GCSE classes taught by non-specialist teachers, the proportion of respondents who can report that all GCSE history classes are taught by a history specialist is slightly lower this year (81.3%) </w:t>
      </w:r>
      <w:r w:rsidR="00A41DC4">
        <w:t>(</w:t>
      </w:r>
      <w:proofErr w:type="gramStart"/>
      <w:r w:rsidR="00A41DC4">
        <w:t>see</w:t>
      </w:r>
      <w:proofErr w:type="gramEnd"/>
      <w:r w:rsidR="00A41DC4">
        <w:t xml:space="preserve"> Figure </w:t>
      </w:r>
      <w:r w:rsidR="00563966">
        <w:t>9</w:t>
      </w:r>
      <w:r w:rsidR="00A41DC4">
        <w:t xml:space="preserve">) </w:t>
      </w:r>
      <w:r>
        <w:t>than it was in 2012 (85%)</w:t>
      </w:r>
      <w:r w:rsidR="00A41DC4">
        <w:t xml:space="preserve"> (</w:t>
      </w:r>
      <w:proofErr w:type="gramStart"/>
      <w:r w:rsidR="00A41DC4">
        <w:t>see</w:t>
      </w:r>
      <w:proofErr w:type="gramEnd"/>
      <w:r w:rsidR="00A41DC4">
        <w:t xml:space="preserve"> Figure </w:t>
      </w:r>
      <w:r w:rsidR="00563966">
        <w:t>10</w:t>
      </w:r>
      <w:r w:rsidR="00A41DC4">
        <w:t>)</w:t>
      </w:r>
      <w:r>
        <w:t>.</w:t>
      </w:r>
      <w:r w:rsidR="00DC2837">
        <w:t xml:space="preserve"> </w:t>
      </w:r>
      <w:r w:rsidR="00212DF7">
        <w:t xml:space="preserve">It is true that in </w:t>
      </w:r>
      <w:r>
        <w:t xml:space="preserve">the vast majority of cases all GCSE classes in history are </w:t>
      </w:r>
      <w:r w:rsidR="00DC2837">
        <w:t xml:space="preserve">still </w:t>
      </w:r>
      <w:r>
        <w:t xml:space="preserve">taught by a history </w:t>
      </w:r>
      <w:r w:rsidR="00131AAD">
        <w:t>specialist</w:t>
      </w:r>
      <w:r w:rsidR="00A41DC4">
        <w:t xml:space="preserve">, </w:t>
      </w:r>
      <w:r w:rsidR="00131AAD">
        <w:t xml:space="preserve">but this is only </w:t>
      </w:r>
      <w:r w:rsidR="00212DF7">
        <w:t xml:space="preserve">the case in </w:t>
      </w:r>
      <w:r w:rsidR="00131AAD">
        <w:t xml:space="preserve">64% of the old style academies (those established in areas of socio-economic deprivation). While this is an improvement on last year’s figure of 44%, it remains </w:t>
      </w:r>
      <w:r w:rsidR="00131AAD">
        <w:lastRenderedPageBreak/>
        <w:t xml:space="preserve">an important concern, as do the small number of schools (comprehensives and academies) in which over half </w:t>
      </w:r>
      <w:r w:rsidR="00212DF7">
        <w:t xml:space="preserve">the </w:t>
      </w:r>
      <w:r w:rsidR="00131AAD">
        <w:t xml:space="preserve">teachers </w:t>
      </w:r>
      <w:r w:rsidR="00212DF7">
        <w:t>who are teaching GCSE history groups ar</w:t>
      </w:r>
      <w:r w:rsidR="00131AAD">
        <w:t xml:space="preserve">e not history specialists.  </w:t>
      </w:r>
    </w:p>
    <w:p w:rsidR="00D95DA7" w:rsidRDefault="00A41DC4" w:rsidP="000C2197">
      <w:pPr>
        <w:jc w:val="both"/>
      </w:pPr>
      <w:r>
        <w:rPr>
          <w:i/>
        </w:rPr>
        <w:t xml:space="preserve">Figure </w:t>
      </w:r>
      <w:r w:rsidR="00785EBF">
        <w:rPr>
          <w:i/>
        </w:rPr>
        <w:t>9</w:t>
      </w:r>
      <w:r>
        <w:rPr>
          <w:i/>
        </w:rPr>
        <w:t xml:space="preserve">: 2013 Extent of GCSE teaching undertaken by non-specialist teachers </w:t>
      </w:r>
    </w:p>
    <w:p w:rsidR="00D95DA7" w:rsidRDefault="00D95DA7" w:rsidP="000C2197">
      <w:pPr>
        <w:jc w:val="both"/>
      </w:pPr>
      <w:r>
        <w:rPr>
          <w:noProof/>
          <w:lang w:eastAsia="en-GB"/>
        </w:rPr>
        <w:drawing>
          <wp:inline distT="0" distB="0" distL="0" distR="0">
            <wp:extent cx="5818909" cy="2867891"/>
            <wp:effectExtent l="0" t="0" r="10795"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DC4" w:rsidRDefault="00A41DC4" w:rsidP="000C2197">
      <w:pPr>
        <w:jc w:val="both"/>
      </w:pPr>
      <w:r>
        <w:rPr>
          <w:i/>
        </w:rPr>
        <w:t xml:space="preserve">Figure </w:t>
      </w:r>
      <w:r w:rsidR="00785EBF">
        <w:rPr>
          <w:i/>
        </w:rPr>
        <w:t>10</w:t>
      </w:r>
      <w:r>
        <w:rPr>
          <w:i/>
        </w:rPr>
        <w:t xml:space="preserve">: 2012 Extent of GCSE teaching undertaken by non-specialist teachers </w:t>
      </w:r>
    </w:p>
    <w:p w:rsidR="0009298A" w:rsidRDefault="00D95DA7" w:rsidP="000C2197">
      <w:pPr>
        <w:jc w:val="both"/>
        <w:rPr>
          <w:b/>
        </w:rPr>
      </w:pPr>
      <w:r>
        <w:rPr>
          <w:noProof/>
          <w:lang w:eastAsia="en-GB"/>
        </w:rPr>
        <w:drawing>
          <wp:inline distT="0" distB="0" distL="0" distR="0">
            <wp:extent cx="5372100" cy="25717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E70" w:rsidRPr="004C425A" w:rsidRDefault="004C2E70" w:rsidP="000C2197">
      <w:pPr>
        <w:jc w:val="both"/>
      </w:pPr>
      <w:r w:rsidRPr="004C425A">
        <w:t>Respondents were asked in a separate section of the survey about the extent to which they felt that particular issues were matters of concern to them. A quarter of all respondents reported that the lack of specialist history teaching was a matter of current concern to them</w:t>
      </w:r>
      <w:r w:rsidR="003E1FE0">
        <w:t xml:space="preserve"> (and this proportion includes the 10% of respondents for whom the concern was ‘serious’).</w:t>
      </w:r>
      <w:r w:rsidRPr="004C425A">
        <w:t xml:space="preserve"> As noted previously, the problem is most acute in the older academies, established in areas of socio-economic deprivation, where over 60% of respondents regarded the issue as a matt</w:t>
      </w:r>
      <w:r w:rsidR="00B40507">
        <w:t>er of concern (</w:t>
      </w:r>
      <w:r w:rsidR="003E1FE0">
        <w:t>among whom</w:t>
      </w:r>
      <w:r w:rsidR="00B40507">
        <w:t xml:space="preserve"> 46% regarded the</w:t>
      </w:r>
      <w:r w:rsidRPr="004C425A">
        <w:t xml:space="preserve"> concern as </w:t>
      </w:r>
      <w:r w:rsidR="00B40507">
        <w:t>‘</w:t>
      </w:r>
      <w:r w:rsidRPr="004C425A">
        <w:t>serious</w:t>
      </w:r>
      <w:r w:rsidR="00B40507">
        <w:t>’</w:t>
      </w:r>
      <w:r w:rsidRPr="004C425A">
        <w:t xml:space="preserve">).  </w:t>
      </w:r>
    </w:p>
    <w:p w:rsidR="000C2197" w:rsidRDefault="004C2E70" w:rsidP="000C2197">
      <w:pPr>
        <w:jc w:val="both"/>
      </w:pPr>
      <w:r w:rsidRPr="004C425A">
        <w:t xml:space="preserve">While 40% of all respondents had no worries about the issue of non-specialist teaching, a further third of respondents thought that a lack of specialist history teaching might well become a concern in their school.  </w:t>
      </w:r>
      <w:r w:rsidR="004C425A">
        <w:t xml:space="preserve">In a parallel question about the extent to which specialist history teachers were being replaced by specialists </w:t>
      </w:r>
      <w:r w:rsidR="004C425A">
        <w:lastRenderedPageBreak/>
        <w:t>when they left, 16% of respondents were already concerned that this was not happening, and a further 40% thought that this might well</w:t>
      </w:r>
      <w:r w:rsidR="0091727C">
        <w:t xml:space="preserve"> come to be the case at their school.</w:t>
      </w:r>
    </w:p>
    <w:p w:rsidR="001B13F0" w:rsidRPr="00FE72A2" w:rsidRDefault="00E46D78" w:rsidP="000C2197">
      <w:pPr>
        <w:jc w:val="both"/>
        <w:rPr>
          <w:b/>
          <w:sz w:val="24"/>
          <w:szCs w:val="24"/>
        </w:rPr>
      </w:pPr>
      <w:r w:rsidRPr="00FE72A2">
        <w:rPr>
          <w:b/>
          <w:sz w:val="24"/>
          <w:szCs w:val="24"/>
        </w:rPr>
        <w:t xml:space="preserve">4.4 </w:t>
      </w:r>
      <w:r w:rsidR="001B13F0" w:rsidRPr="00FE72A2">
        <w:rPr>
          <w:b/>
          <w:sz w:val="24"/>
          <w:szCs w:val="24"/>
        </w:rPr>
        <w:t xml:space="preserve">The </w:t>
      </w:r>
      <w:r w:rsidR="005854E2" w:rsidRPr="00FE72A2">
        <w:rPr>
          <w:b/>
          <w:sz w:val="24"/>
          <w:szCs w:val="24"/>
        </w:rPr>
        <w:t xml:space="preserve">extent to which certain students are steered away from GCSE history </w:t>
      </w:r>
    </w:p>
    <w:p w:rsidR="002325FA" w:rsidRPr="00FE72A2" w:rsidRDefault="005854E2" w:rsidP="00A511AD">
      <w:pPr>
        <w:jc w:val="both"/>
      </w:pPr>
      <w:r w:rsidRPr="00FE72A2">
        <w:t xml:space="preserve">The concerns identified last year about students being actively steered away or even prevented from doing history are even more pronounced this year. </w:t>
      </w:r>
      <w:proofErr w:type="gramStart"/>
      <w:r w:rsidRPr="00FE72A2">
        <w:t>persist</w:t>
      </w:r>
      <w:proofErr w:type="gramEnd"/>
      <w:r w:rsidRPr="00FE72A2">
        <w:t>. Last year 31% of respondents reported that certain students were being actively discouraged or completely denied the opportunity of taking history at Key Stage 4</w:t>
      </w:r>
      <w:r w:rsidR="002325FA" w:rsidRPr="00FE72A2">
        <w:t xml:space="preserve"> (compared with only 16% in 2011). </w:t>
      </w:r>
      <w:r w:rsidRPr="00FE72A2">
        <w:t>The proportion reporting</w:t>
      </w:r>
      <w:r w:rsidR="002325FA" w:rsidRPr="00FE72A2">
        <w:t xml:space="preserve"> the same phenomenon this year h</w:t>
      </w:r>
      <w:r w:rsidRPr="00FE72A2">
        <w:t xml:space="preserve">as </w:t>
      </w:r>
      <w:r w:rsidR="002325FA" w:rsidRPr="00FE72A2">
        <w:t xml:space="preserve">risen to </w:t>
      </w:r>
      <w:r w:rsidRPr="00FE72A2">
        <w:t>38% with the tendency to steer students away higher in academies (especially the old style academies) than in other kinds of school.</w:t>
      </w:r>
    </w:p>
    <w:p w:rsidR="00A511AD" w:rsidRPr="00FE72A2" w:rsidRDefault="00A511AD" w:rsidP="00A511AD">
      <w:pPr>
        <w:jc w:val="both"/>
      </w:pPr>
      <w:r w:rsidRPr="00FE72A2">
        <w:rPr>
          <w:i/>
        </w:rPr>
        <w:t xml:space="preserve">Table </w:t>
      </w:r>
      <w:proofErr w:type="gramStart"/>
      <w:r w:rsidRPr="00FE72A2">
        <w:rPr>
          <w:i/>
        </w:rPr>
        <w:t>6 :</w:t>
      </w:r>
      <w:proofErr w:type="gramEnd"/>
      <w:r w:rsidRPr="00FE72A2">
        <w:rPr>
          <w:i/>
        </w:rPr>
        <w:t xml:space="preserve"> The extent to which certain students are steered away from taking GCSE </w:t>
      </w:r>
    </w:p>
    <w:tbl>
      <w:tblPr>
        <w:tblpPr w:leftFromText="180" w:rightFromText="180" w:vertAnchor="text" w:tblpY="1"/>
        <w:tblOverlap w:val="never"/>
        <w:tblW w:w="7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648"/>
        <w:gridCol w:w="1025"/>
        <w:gridCol w:w="647"/>
        <w:gridCol w:w="1025"/>
        <w:gridCol w:w="792"/>
      </w:tblGrid>
      <w:tr w:rsidR="005854E2" w:rsidRPr="00FE72A2" w:rsidTr="00FE72A2">
        <w:trPr>
          <w:trHeight w:val="300"/>
        </w:trPr>
        <w:tc>
          <w:tcPr>
            <w:tcW w:w="7245" w:type="dxa"/>
            <w:gridSpan w:val="6"/>
            <w:shd w:val="clear" w:color="auto" w:fill="auto"/>
            <w:noWrap/>
            <w:vAlign w:val="bottom"/>
            <w:hideMark/>
          </w:tcPr>
          <w:p w:rsidR="005854E2" w:rsidRPr="00FE72A2" w:rsidRDefault="005854E2" w:rsidP="00FE72A2">
            <w:pPr>
              <w:spacing w:after="0" w:line="240" w:lineRule="auto"/>
              <w:rPr>
                <w:rFonts w:ascii="Calibri" w:eastAsia="Times New Roman" w:hAnsi="Calibri" w:cs="Times New Roman"/>
                <w:b/>
                <w:bCs/>
                <w:color w:val="000000"/>
                <w:lang w:eastAsia="en-GB"/>
              </w:rPr>
            </w:pPr>
            <w:r w:rsidRPr="00FE72A2">
              <w:rPr>
                <w:rFonts w:ascii="Calibri" w:eastAsia="Times New Roman" w:hAnsi="Calibri" w:cs="Times New Roman"/>
                <w:b/>
                <w:bCs/>
                <w:color w:val="000000"/>
                <w:lang w:eastAsia="en-GB"/>
              </w:rPr>
              <w:t>Are students actively prevented or discouraged from taking history GCSE</w:t>
            </w:r>
          </w:p>
        </w:tc>
      </w:tr>
      <w:tr w:rsidR="005854E2" w:rsidRPr="00FE72A2" w:rsidTr="00FE72A2">
        <w:trPr>
          <w:trHeight w:val="300"/>
        </w:trPr>
        <w:tc>
          <w:tcPr>
            <w:tcW w:w="3108" w:type="dxa"/>
            <w:shd w:val="clear" w:color="auto" w:fill="auto"/>
            <w:noWrap/>
            <w:vAlign w:val="bottom"/>
            <w:hideMark/>
          </w:tcPr>
          <w:p w:rsidR="005854E2" w:rsidRPr="00FE72A2" w:rsidRDefault="005854E2" w:rsidP="00FE72A2">
            <w:pPr>
              <w:spacing w:after="0" w:line="240" w:lineRule="auto"/>
              <w:rPr>
                <w:rFonts w:ascii="Calibri" w:eastAsia="Times New Roman" w:hAnsi="Calibri" w:cs="Times New Roman"/>
                <w:color w:val="000000"/>
                <w:lang w:eastAsia="en-GB"/>
              </w:rPr>
            </w:pPr>
          </w:p>
        </w:tc>
        <w:tc>
          <w:tcPr>
            <w:tcW w:w="648" w:type="dxa"/>
            <w:shd w:val="clear" w:color="auto" w:fill="auto"/>
            <w:noWrap/>
            <w:vAlign w:val="bottom"/>
            <w:hideMark/>
          </w:tcPr>
          <w:p w:rsidR="005854E2" w:rsidRPr="00FE72A2" w:rsidRDefault="005854E2" w:rsidP="00FE72A2">
            <w:pPr>
              <w:spacing w:after="0" w:line="240" w:lineRule="auto"/>
              <w:rPr>
                <w:rFonts w:ascii="Calibri" w:eastAsia="Times New Roman" w:hAnsi="Calibri" w:cs="Times New Roman"/>
                <w:b/>
                <w:bCs/>
                <w:color w:val="000000"/>
                <w:lang w:eastAsia="en-GB"/>
              </w:rPr>
            </w:pPr>
            <w:r w:rsidRPr="00FE72A2">
              <w:rPr>
                <w:rFonts w:ascii="Calibri" w:eastAsia="Times New Roman" w:hAnsi="Calibri" w:cs="Times New Roman"/>
                <w:b/>
                <w:bCs/>
                <w:color w:val="000000"/>
                <w:lang w:eastAsia="en-GB"/>
              </w:rPr>
              <w:t>Yes</w:t>
            </w:r>
          </w:p>
        </w:tc>
        <w:tc>
          <w:tcPr>
            <w:tcW w:w="1025" w:type="dxa"/>
            <w:shd w:val="clear" w:color="auto" w:fill="auto"/>
            <w:noWrap/>
            <w:vAlign w:val="bottom"/>
            <w:hideMark/>
          </w:tcPr>
          <w:p w:rsidR="005854E2" w:rsidRPr="00FE72A2" w:rsidRDefault="005854E2" w:rsidP="00FE72A2">
            <w:pPr>
              <w:spacing w:after="0" w:line="240" w:lineRule="auto"/>
              <w:rPr>
                <w:rFonts w:ascii="Calibri" w:eastAsia="Times New Roman" w:hAnsi="Calibri" w:cs="Times New Roman"/>
                <w:b/>
                <w:bCs/>
                <w:color w:val="000000"/>
                <w:lang w:eastAsia="en-GB"/>
              </w:rPr>
            </w:pPr>
          </w:p>
        </w:tc>
        <w:tc>
          <w:tcPr>
            <w:tcW w:w="647" w:type="dxa"/>
            <w:shd w:val="clear" w:color="auto" w:fill="auto"/>
            <w:noWrap/>
            <w:vAlign w:val="bottom"/>
            <w:hideMark/>
          </w:tcPr>
          <w:p w:rsidR="005854E2" w:rsidRPr="00FE72A2" w:rsidRDefault="005854E2" w:rsidP="00FE72A2">
            <w:pPr>
              <w:spacing w:after="0" w:line="240" w:lineRule="auto"/>
              <w:rPr>
                <w:rFonts w:ascii="Calibri" w:eastAsia="Times New Roman" w:hAnsi="Calibri" w:cs="Times New Roman"/>
                <w:b/>
                <w:bCs/>
                <w:color w:val="000000"/>
                <w:lang w:eastAsia="en-GB"/>
              </w:rPr>
            </w:pPr>
            <w:r w:rsidRPr="00FE72A2">
              <w:rPr>
                <w:rFonts w:ascii="Calibri" w:eastAsia="Times New Roman" w:hAnsi="Calibri" w:cs="Times New Roman"/>
                <w:b/>
                <w:bCs/>
                <w:color w:val="000000"/>
                <w:lang w:eastAsia="en-GB"/>
              </w:rPr>
              <w:t>No</w:t>
            </w:r>
          </w:p>
        </w:tc>
        <w:tc>
          <w:tcPr>
            <w:tcW w:w="1025" w:type="dxa"/>
            <w:shd w:val="clear" w:color="auto" w:fill="auto"/>
            <w:noWrap/>
            <w:vAlign w:val="bottom"/>
            <w:hideMark/>
          </w:tcPr>
          <w:p w:rsidR="005854E2" w:rsidRPr="00FE72A2" w:rsidRDefault="005854E2" w:rsidP="00FE72A2">
            <w:pPr>
              <w:spacing w:after="0" w:line="240" w:lineRule="auto"/>
              <w:rPr>
                <w:rFonts w:ascii="Calibri" w:eastAsia="Times New Roman" w:hAnsi="Calibri" w:cs="Times New Roman"/>
                <w:b/>
                <w:bCs/>
                <w:color w:val="000000"/>
                <w:lang w:eastAsia="en-GB"/>
              </w:rPr>
            </w:pPr>
          </w:p>
        </w:tc>
        <w:tc>
          <w:tcPr>
            <w:tcW w:w="792" w:type="dxa"/>
            <w:shd w:val="clear" w:color="auto" w:fill="auto"/>
            <w:noWrap/>
            <w:vAlign w:val="bottom"/>
            <w:hideMark/>
          </w:tcPr>
          <w:p w:rsidR="005854E2" w:rsidRPr="00FE72A2" w:rsidRDefault="00A511AD" w:rsidP="00FE72A2">
            <w:pPr>
              <w:spacing w:after="0" w:line="240" w:lineRule="auto"/>
              <w:rPr>
                <w:rFonts w:ascii="Calibri" w:eastAsia="Times New Roman" w:hAnsi="Calibri" w:cs="Times New Roman"/>
                <w:b/>
                <w:color w:val="000000"/>
                <w:lang w:eastAsia="en-GB"/>
              </w:rPr>
            </w:pPr>
            <w:r w:rsidRPr="00FE72A2">
              <w:rPr>
                <w:rFonts w:ascii="Calibri" w:eastAsia="Times New Roman" w:hAnsi="Calibri" w:cs="Times New Roman"/>
                <w:b/>
                <w:color w:val="000000"/>
                <w:lang w:eastAsia="en-GB"/>
              </w:rPr>
              <w:t>Total</w:t>
            </w:r>
          </w:p>
        </w:tc>
      </w:tr>
      <w:tr w:rsidR="005854E2" w:rsidRPr="00FE72A2" w:rsidTr="00FE72A2">
        <w:trPr>
          <w:trHeight w:val="300"/>
        </w:trPr>
        <w:tc>
          <w:tcPr>
            <w:tcW w:w="3108" w:type="dxa"/>
            <w:shd w:val="clear" w:color="auto" w:fill="auto"/>
            <w:noWrap/>
            <w:vAlign w:val="bottom"/>
            <w:hideMark/>
          </w:tcPr>
          <w:p w:rsidR="005854E2" w:rsidRPr="00FE72A2" w:rsidRDefault="005854E2" w:rsidP="00FE72A2">
            <w:pPr>
              <w:spacing w:after="0" w:line="240" w:lineRule="auto"/>
              <w:rPr>
                <w:rFonts w:ascii="Microsoft Sans Serif" w:eastAsia="Times New Roman" w:hAnsi="Microsoft Sans Serif" w:cs="Microsoft Sans Serif"/>
                <w:b/>
                <w:bCs/>
                <w:sz w:val="20"/>
                <w:szCs w:val="20"/>
                <w:lang w:eastAsia="en-GB"/>
              </w:rPr>
            </w:pPr>
            <w:r w:rsidRPr="00FE72A2">
              <w:rPr>
                <w:rFonts w:ascii="Microsoft Sans Serif" w:eastAsia="Times New Roman" w:hAnsi="Microsoft Sans Serif" w:cs="Microsoft Sans Serif"/>
                <w:b/>
                <w:bCs/>
                <w:sz w:val="20"/>
                <w:szCs w:val="20"/>
                <w:lang w:eastAsia="en-GB"/>
              </w:rPr>
              <w:t>Comprehensive</w:t>
            </w:r>
          </w:p>
        </w:tc>
        <w:tc>
          <w:tcPr>
            <w:tcW w:w="648"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77</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37.6%</w:t>
            </w:r>
          </w:p>
        </w:tc>
        <w:tc>
          <w:tcPr>
            <w:tcW w:w="647"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128</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62.4%</w:t>
            </w:r>
          </w:p>
        </w:tc>
        <w:tc>
          <w:tcPr>
            <w:tcW w:w="792"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205</w:t>
            </w:r>
          </w:p>
        </w:tc>
      </w:tr>
      <w:tr w:rsidR="005854E2" w:rsidRPr="00FE72A2" w:rsidTr="00FE72A2">
        <w:trPr>
          <w:trHeight w:val="300"/>
        </w:trPr>
        <w:tc>
          <w:tcPr>
            <w:tcW w:w="3108" w:type="dxa"/>
            <w:shd w:val="clear" w:color="auto" w:fill="auto"/>
            <w:noWrap/>
            <w:vAlign w:val="bottom"/>
            <w:hideMark/>
          </w:tcPr>
          <w:p w:rsidR="005854E2" w:rsidRPr="00FE72A2" w:rsidRDefault="005854E2" w:rsidP="00FE72A2">
            <w:pPr>
              <w:spacing w:after="0" w:line="240" w:lineRule="auto"/>
              <w:rPr>
                <w:rFonts w:ascii="Microsoft Sans Serif" w:eastAsia="Times New Roman" w:hAnsi="Microsoft Sans Serif" w:cs="Microsoft Sans Serif"/>
                <w:b/>
                <w:bCs/>
                <w:sz w:val="20"/>
                <w:szCs w:val="20"/>
                <w:lang w:eastAsia="en-GB"/>
              </w:rPr>
            </w:pPr>
            <w:r w:rsidRPr="00FE72A2">
              <w:rPr>
                <w:rFonts w:ascii="Microsoft Sans Serif" w:eastAsia="Times New Roman" w:hAnsi="Microsoft Sans Serif" w:cs="Microsoft Sans Serif"/>
                <w:b/>
                <w:bCs/>
                <w:sz w:val="20"/>
                <w:szCs w:val="20"/>
                <w:lang w:eastAsia="en-GB"/>
              </w:rPr>
              <w:t>Grammar</w:t>
            </w:r>
          </w:p>
        </w:tc>
        <w:tc>
          <w:tcPr>
            <w:tcW w:w="648"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14.3%</w:t>
            </w:r>
          </w:p>
        </w:tc>
        <w:tc>
          <w:tcPr>
            <w:tcW w:w="647"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6</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85.7%</w:t>
            </w:r>
          </w:p>
        </w:tc>
        <w:tc>
          <w:tcPr>
            <w:tcW w:w="792"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7</w:t>
            </w:r>
          </w:p>
        </w:tc>
      </w:tr>
      <w:tr w:rsidR="005854E2" w:rsidRPr="00FE72A2" w:rsidTr="00FE72A2">
        <w:trPr>
          <w:trHeight w:val="300"/>
        </w:trPr>
        <w:tc>
          <w:tcPr>
            <w:tcW w:w="3108" w:type="dxa"/>
            <w:shd w:val="clear" w:color="auto" w:fill="auto"/>
            <w:noWrap/>
            <w:vAlign w:val="bottom"/>
            <w:hideMark/>
          </w:tcPr>
          <w:p w:rsidR="005854E2" w:rsidRPr="00FE72A2" w:rsidRDefault="005854E2" w:rsidP="00FE72A2">
            <w:pPr>
              <w:spacing w:after="0" w:line="240" w:lineRule="auto"/>
              <w:rPr>
                <w:rFonts w:ascii="Microsoft Sans Serif" w:eastAsia="Times New Roman" w:hAnsi="Microsoft Sans Serif" w:cs="Microsoft Sans Serif"/>
                <w:b/>
                <w:bCs/>
                <w:sz w:val="20"/>
                <w:szCs w:val="20"/>
                <w:lang w:eastAsia="en-GB"/>
              </w:rPr>
            </w:pPr>
            <w:r w:rsidRPr="00FE72A2">
              <w:rPr>
                <w:rFonts w:ascii="Microsoft Sans Serif" w:eastAsia="Times New Roman" w:hAnsi="Microsoft Sans Serif" w:cs="Microsoft Sans Serif"/>
                <w:b/>
                <w:bCs/>
                <w:sz w:val="20"/>
                <w:szCs w:val="20"/>
                <w:lang w:eastAsia="en-GB"/>
              </w:rPr>
              <w:t>Independents</w:t>
            </w:r>
          </w:p>
        </w:tc>
        <w:tc>
          <w:tcPr>
            <w:tcW w:w="648"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12</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24.0%</w:t>
            </w:r>
          </w:p>
        </w:tc>
        <w:tc>
          <w:tcPr>
            <w:tcW w:w="647"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38</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76.0%</w:t>
            </w:r>
          </w:p>
        </w:tc>
        <w:tc>
          <w:tcPr>
            <w:tcW w:w="792"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50</w:t>
            </w:r>
          </w:p>
        </w:tc>
      </w:tr>
      <w:tr w:rsidR="005854E2" w:rsidRPr="00FE72A2" w:rsidTr="00FE72A2">
        <w:trPr>
          <w:trHeight w:val="300"/>
        </w:trPr>
        <w:tc>
          <w:tcPr>
            <w:tcW w:w="3108" w:type="dxa"/>
            <w:shd w:val="clear" w:color="auto" w:fill="auto"/>
            <w:noWrap/>
            <w:vAlign w:val="bottom"/>
            <w:hideMark/>
          </w:tcPr>
          <w:p w:rsidR="005854E2" w:rsidRPr="00FE72A2" w:rsidRDefault="005854E2" w:rsidP="00FE72A2">
            <w:pPr>
              <w:spacing w:after="0" w:line="240" w:lineRule="auto"/>
              <w:rPr>
                <w:rFonts w:ascii="Microsoft Sans Serif" w:eastAsia="Times New Roman" w:hAnsi="Microsoft Sans Serif" w:cs="Microsoft Sans Serif"/>
                <w:b/>
                <w:bCs/>
                <w:sz w:val="20"/>
                <w:szCs w:val="20"/>
                <w:lang w:eastAsia="en-GB"/>
              </w:rPr>
            </w:pPr>
            <w:r w:rsidRPr="00FE72A2">
              <w:rPr>
                <w:rFonts w:ascii="Microsoft Sans Serif" w:eastAsia="Times New Roman" w:hAnsi="Microsoft Sans Serif" w:cs="Microsoft Sans Serif"/>
                <w:b/>
                <w:bCs/>
                <w:sz w:val="20"/>
                <w:szCs w:val="20"/>
                <w:lang w:eastAsia="en-GB"/>
              </w:rPr>
              <w:t>Academy (old style)</w:t>
            </w:r>
          </w:p>
        </w:tc>
        <w:tc>
          <w:tcPr>
            <w:tcW w:w="648"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10</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52.6%</w:t>
            </w:r>
          </w:p>
        </w:tc>
        <w:tc>
          <w:tcPr>
            <w:tcW w:w="647"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9</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47.4%</w:t>
            </w:r>
          </w:p>
        </w:tc>
        <w:tc>
          <w:tcPr>
            <w:tcW w:w="792"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19</w:t>
            </w:r>
          </w:p>
        </w:tc>
      </w:tr>
      <w:tr w:rsidR="005854E2" w:rsidRPr="00FE72A2" w:rsidTr="00FE72A2">
        <w:trPr>
          <w:trHeight w:val="300"/>
        </w:trPr>
        <w:tc>
          <w:tcPr>
            <w:tcW w:w="3108" w:type="dxa"/>
            <w:shd w:val="clear" w:color="auto" w:fill="auto"/>
            <w:noWrap/>
            <w:vAlign w:val="bottom"/>
            <w:hideMark/>
          </w:tcPr>
          <w:p w:rsidR="005854E2" w:rsidRPr="00FE72A2" w:rsidRDefault="005854E2" w:rsidP="00FE72A2">
            <w:pPr>
              <w:spacing w:after="0" w:line="240" w:lineRule="auto"/>
              <w:rPr>
                <w:rFonts w:ascii="Microsoft Sans Serif" w:eastAsia="Times New Roman" w:hAnsi="Microsoft Sans Serif" w:cs="Microsoft Sans Serif"/>
                <w:b/>
                <w:bCs/>
                <w:sz w:val="20"/>
                <w:szCs w:val="20"/>
                <w:lang w:eastAsia="en-GB"/>
              </w:rPr>
            </w:pPr>
            <w:r w:rsidRPr="00FE72A2">
              <w:rPr>
                <w:rFonts w:ascii="Microsoft Sans Serif" w:eastAsia="Times New Roman" w:hAnsi="Microsoft Sans Serif" w:cs="Microsoft Sans Serif"/>
                <w:b/>
                <w:bCs/>
                <w:sz w:val="20"/>
                <w:szCs w:val="20"/>
                <w:lang w:eastAsia="en-GB"/>
              </w:rPr>
              <w:t xml:space="preserve"> 'New' Academy</w:t>
            </w:r>
          </w:p>
        </w:tc>
        <w:tc>
          <w:tcPr>
            <w:tcW w:w="648"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75</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44.4%</w:t>
            </w:r>
          </w:p>
        </w:tc>
        <w:tc>
          <w:tcPr>
            <w:tcW w:w="647"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94</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55.6%</w:t>
            </w:r>
          </w:p>
        </w:tc>
        <w:tc>
          <w:tcPr>
            <w:tcW w:w="792"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169</w:t>
            </w:r>
          </w:p>
        </w:tc>
      </w:tr>
      <w:tr w:rsidR="005854E2" w:rsidRPr="00A058DC" w:rsidTr="00FE72A2">
        <w:trPr>
          <w:trHeight w:val="300"/>
        </w:trPr>
        <w:tc>
          <w:tcPr>
            <w:tcW w:w="3108" w:type="dxa"/>
            <w:shd w:val="clear" w:color="auto" w:fill="auto"/>
            <w:noWrap/>
            <w:vAlign w:val="bottom"/>
            <w:hideMark/>
          </w:tcPr>
          <w:p w:rsidR="005854E2" w:rsidRPr="00FE72A2" w:rsidRDefault="005854E2" w:rsidP="00FE72A2">
            <w:pPr>
              <w:spacing w:after="0" w:line="240" w:lineRule="auto"/>
              <w:rPr>
                <w:rFonts w:ascii="Microsoft Sans Serif" w:eastAsia="Times New Roman" w:hAnsi="Microsoft Sans Serif" w:cs="Microsoft Sans Serif"/>
                <w:b/>
                <w:bCs/>
                <w:sz w:val="20"/>
                <w:szCs w:val="20"/>
                <w:lang w:eastAsia="en-GB"/>
              </w:rPr>
            </w:pPr>
            <w:r w:rsidRPr="00FE72A2">
              <w:rPr>
                <w:rFonts w:ascii="Microsoft Sans Serif" w:eastAsia="Times New Roman" w:hAnsi="Microsoft Sans Serif" w:cs="Microsoft Sans Serif"/>
                <w:b/>
                <w:bCs/>
                <w:sz w:val="20"/>
                <w:szCs w:val="20"/>
                <w:lang w:eastAsia="en-GB"/>
              </w:rPr>
              <w:t>Overall</w:t>
            </w:r>
          </w:p>
        </w:tc>
        <w:tc>
          <w:tcPr>
            <w:tcW w:w="648"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175</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38.9%</w:t>
            </w:r>
          </w:p>
        </w:tc>
        <w:tc>
          <w:tcPr>
            <w:tcW w:w="647"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275</w:t>
            </w:r>
          </w:p>
        </w:tc>
        <w:tc>
          <w:tcPr>
            <w:tcW w:w="1025" w:type="dxa"/>
            <w:shd w:val="clear" w:color="auto" w:fill="auto"/>
            <w:noWrap/>
            <w:vAlign w:val="bottom"/>
            <w:hideMark/>
          </w:tcPr>
          <w:p w:rsidR="005854E2" w:rsidRPr="00FE72A2"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61.1%</w:t>
            </w:r>
          </w:p>
        </w:tc>
        <w:tc>
          <w:tcPr>
            <w:tcW w:w="792" w:type="dxa"/>
            <w:shd w:val="clear" w:color="auto" w:fill="auto"/>
            <w:noWrap/>
            <w:vAlign w:val="bottom"/>
            <w:hideMark/>
          </w:tcPr>
          <w:p w:rsidR="005854E2" w:rsidRPr="00A058DC" w:rsidRDefault="005854E2" w:rsidP="00FE72A2">
            <w:pPr>
              <w:spacing w:after="0" w:line="240" w:lineRule="auto"/>
              <w:jc w:val="right"/>
              <w:rPr>
                <w:rFonts w:ascii="Calibri" w:eastAsia="Times New Roman" w:hAnsi="Calibri" w:cs="Times New Roman"/>
                <w:color w:val="000000"/>
                <w:lang w:eastAsia="en-GB"/>
              </w:rPr>
            </w:pPr>
            <w:r w:rsidRPr="00FE72A2">
              <w:rPr>
                <w:rFonts w:ascii="Calibri" w:eastAsia="Times New Roman" w:hAnsi="Calibri" w:cs="Times New Roman"/>
                <w:color w:val="000000"/>
                <w:lang w:eastAsia="en-GB"/>
              </w:rPr>
              <w:t>450</w:t>
            </w:r>
          </w:p>
        </w:tc>
      </w:tr>
    </w:tbl>
    <w:p w:rsidR="005854E2" w:rsidRPr="00DC2837" w:rsidRDefault="00FE72A2" w:rsidP="000C2197">
      <w:pPr>
        <w:jc w:val="both"/>
        <w:rPr>
          <w:b/>
          <w:sz w:val="24"/>
          <w:szCs w:val="24"/>
        </w:rPr>
      </w:pPr>
      <w:r>
        <w:rPr>
          <w:b/>
          <w:sz w:val="24"/>
          <w:szCs w:val="24"/>
        </w:rPr>
        <w:br w:type="textWrapping" w:clear="all"/>
      </w:r>
    </w:p>
    <w:p w:rsidR="00A511AD" w:rsidRDefault="00A511AD" w:rsidP="00A511AD">
      <w:pPr>
        <w:jc w:val="both"/>
        <w:rPr>
          <w:b/>
          <w:sz w:val="24"/>
          <w:szCs w:val="24"/>
        </w:rPr>
      </w:pPr>
      <w:r w:rsidRPr="00A511AD">
        <w:rPr>
          <w:b/>
          <w:sz w:val="24"/>
          <w:szCs w:val="24"/>
        </w:rPr>
        <w:t>4.5 The grounds on which students are steered towards or away from GCSE history</w:t>
      </w:r>
      <w:r>
        <w:rPr>
          <w:b/>
          <w:sz w:val="24"/>
          <w:szCs w:val="24"/>
        </w:rPr>
        <w:t xml:space="preserve"> </w:t>
      </w:r>
    </w:p>
    <w:p w:rsidR="00112371" w:rsidRDefault="007A6B9B" w:rsidP="000C2197">
      <w:pPr>
        <w:jc w:val="both"/>
      </w:pPr>
      <w:r w:rsidRPr="007A6B9B">
        <w:t>In explaining their options system and the patterns of take-up of history at GCSE respondents were asked on what grounds students might be encouraged or compelled to take history, and if any were discouraged or prevented from doing so, on wha</w:t>
      </w:r>
      <w:r w:rsidR="00F16BFE">
        <w:t xml:space="preserve">t grounds this advice or prevention would be based. </w:t>
      </w:r>
      <w:r w:rsidRPr="007A6B9B">
        <w:t xml:space="preserve"> </w:t>
      </w:r>
      <w:r>
        <w:t xml:space="preserve"> </w:t>
      </w:r>
    </w:p>
    <w:p w:rsidR="007A6B9B" w:rsidRPr="00112371" w:rsidRDefault="007A6B9B" w:rsidP="000C2197">
      <w:pPr>
        <w:jc w:val="both"/>
      </w:pPr>
      <w:r>
        <w:t xml:space="preserve">One hundred and forty-one respondents took the opportunity to comment </w:t>
      </w:r>
      <w:r w:rsidR="00212DF7">
        <w:t>specifically on</w:t>
      </w:r>
      <w:r>
        <w:t xml:space="preserve"> what sort of students were steered towards history. </w:t>
      </w:r>
      <w:r w:rsidR="003E1FE0">
        <w:t xml:space="preserve">Fifteen per cent of those </w:t>
      </w:r>
      <w:r>
        <w:t xml:space="preserve"> respondents declared (some of them very proudly) that all students were encouraged to take the subject and that there was a genuinely free choice, and a few (9%) emphasised students’ interest in, or enjoyment of the subject as a sufficient or partial reason for encouraging them to take the subject</w:t>
      </w:r>
      <w:r w:rsidR="003E1FE0">
        <w:t>. However,</w:t>
      </w:r>
      <w:r>
        <w:t xml:space="preserve"> most respondents explained the steer or compulsion in terms of students’ abilities and the likelihood of them achieving the range of grades necessary to meet the requirements of the English Baccalaureate. </w:t>
      </w:r>
      <w:r w:rsidR="00112371">
        <w:t>Over a third of respondents (52) referred to students’ abilities, while some were more specific</w:t>
      </w:r>
      <w:r w:rsidR="00DC2837">
        <w:t>,</w:t>
      </w:r>
      <w:r w:rsidR="00112371">
        <w:t xml:space="preserve"> pointing either to the National Curriculum levels they had achieved at </w:t>
      </w:r>
      <w:r w:rsidR="00F8060B">
        <w:t>Key Stage 3</w:t>
      </w:r>
      <w:r w:rsidR="00112371">
        <w:t xml:space="preserve">, or to their expected GCSE grades. In some cases, reference was made to the ‘pathway’ systems that determined what options they were actually given – with those on the ‘traditional’ or ‘academic’ or </w:t>
      </w:r>
      <w:r w:rsidR="00A41DC4">
        <w:t>‘</w:t>
      </w:r>
      <w:r w:rsidR="00112371">
        <w:t>E-</w:t>
      </w:r>
      <w:proofErr w:type="spellStart"/>
      <w:r w:rsidR="00112371">
        <w:t>Bacc</w:t>
      </w:r>
      <w:proofErr w:type="spellEnd"/>
      <w:r w:rsidR="00112371">
        <w:t xml:space="preserve">’ pathways sometimes advised, but often compelled, to take history.  There were 23 </w:t>
      </w:r>
      <w:r w:rsidR="00A41DC4">
        <w:t>references specifically to the E-</w:t>
      </w:r>
      <w:proofErr w:type="spellStart"/>
      <w:r w:rsidR="00A41DC4">
        <w:t>Bacc</w:t>
      </w:r>
      <w:proofErr w:type="spellEnd"/>
      <w:r w:rsidR="00112371">
        <w:t xml:space="preserve"> and in some cases it was clear that the injunction to take history depended on the students’ success or assumed capabilities in </w:t>
      </w:r>
      <w:r w:rsidR="00112371" w:rsidRPr="00A41DC4">
        <w:rPr>
          <w:b/>
        </w:rPr>
        <w:t>other</w:t>
      </w:r>
      <w:r w:rsidR="00112371">
        <w:rPr>
          <w:i/>
        </w:rPr>
        <w:t xml:space="preserve"> </w:t>
      </w:r>
      <w:r w:rsidR="00112371">
        <w:t>E-</w:t>
      </w:r>
      <w:proofErr w:type="spellStart"/>
      <w:r w:rsidR="00112371">
        <w:t>Bacc</w:t>
      </w:r>
      <w:proofErr w:type="spellEnd"/>
      <w:r w:rsidR="00112371">
        <w:t xml:space="preserve"> subjects. In five cases, those who were thought likely to achieve a grade C in a Modern Foreign Languages were required to take history. In four other cases, the students’ success in science became grounds for pushing or compelling them to t</w:t>
      </w:r>
      <w:r w:rsidR="00A41DC4">
        <w:t>ake history.  While the E-</w:t>
      </w:r>
      <w:proofErr w:type="spellStart"/>
      <w:r w:rsidR="00A41DC4">
        <w:t>Bacc</w:t>
      </w:r>
      <w:proofErr w:type="spellEnd"/>
      <w:r w:rsidR="00112371">
        <w:t xml:space="preserve"> measure seemed to be the most prominent influence on this steer, a few teachers made an explicit </w:t>
      </w:r>
      <w:r w:rsidR="003E1FE0">
        <w:lastRenderedPageBreak/>
        <w:t xml:space="preserve">reference to the scope that </w:t>
      </w:r>
      <w:r w:rsidR="00325804">
        <w:t xml:space="preserve">taking </w:t>
      </w:r>
      <w:r w:rsidR="003E1FE0">
        <w:t xml:space="preserve">history (as a subject valued by Russell group universities) would </w:t>
      </w:r>
      <w:r w:rsidR="00325804">
        <w:t xml:space="preserve">give students when it came to </w:t>
      </w:r>
      <w:r w:rsidR="00112371">
        <w:t xml:space="preserve"> thinking about university education. </w:t>
      </w:r>
    </w:p>
    <w:p w:rsidR="008258D8" w:rsidRDefault="00841DFC" w:rsidP="000C2197">
      <w:pPr>
        <w:jc w:val="both"/>
      </w:pPr>
      <w:r>
        <w:t xml:space="preserve">Two hundred comments were made in response to the request to explain the </w:t>
      </w:r>
      <w:r w:rsidR="008258D8">
        <w:t>types of young people or the ground</w:t>
      </w:r>
      <w:r w:rsidR="00325804">
        <w:t>s</w:t>
      </w:r>
      <w:r w:rsidR="008258D8">
        <w:t xml:space="preserve"> on which they were </w:t>
      </w:r>
      <w:r>
        <w:t>steered away</w:t>
      </w:r>
      <w:r w:rsidR="008258D8">
        <w:t xml:space="preserve"> or actively prevented </w:t>
      </w:r>
      <w:r>
        <w:t xml:space="preserve">from taking history. </w:t>
      </w:r>
      <w:r>
        <w:br/>
      </w:r>
      <w:r w:rsidR="008258D8">
        <w:t xml:space="preserve">Thirty per cent of these comments (61) referred specifically to the literacy demands of the subject or to students’ particular difficulties with literacy: </w:t>
      </w:r>
    </w:p>
    <w:p w:rsidR="008258D8" w:rsidRDefault="008258D8" w:rsidP="000C2197">
      <w:pPr>
        <w:spacing w:after="0" w:line="240" w:lineRule="auto"/>
        <w:ind w:left="720" w:right="720" w:hanging="11"/>
        <w:jc w:val="both"/>
        <w:rPr>
          <w:rFonts w:ascii="Calibri" w:eastAsia="Times New Roman" w:hAnsi="Calibri" w:cs="Times New Roman"/>
          <w:i/>
          <w:color w:val="000000"/>
          <w:lang w:eastAsia="en-GB"/>
        </w:rPr>
      </w:pPr>
      <w:proofErr w:type="gramStart"/>
      <w:r w:rsidRPr="008258D8">
        <w:rPr>
          <w:rFonts w:ascii="Calibri" w:eastAsia="Times New Roman" w:hAnsi="Calibri" w:cs="Times New Roman"/>
          <w:i/>
          <w:color w:val="000000"/>
          <w:lang w:eastAsia="en-GB"/>
        </w:rPr>
        <w:t>Those that would clearly struggle with the written aspects of the GCSE history course.</w:t>
      </w:r>
      <w:proofErr w:type="gramEnd"/>
    </w:p>
    <w:p w:rsidR="002214A3" w:rsidRDefault="002214A3" w:rsidP="000C2197">
      <w:pPr>
        <w:spacing w:after="0" w:line="240" w:lineRule="auto"/>
        <w:ind w:left="720" w:right="720"/>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(Respondent 187, New </w:t>
      </w:r>
      <w:r w:rsidR="00C5717F">
        <w:rPr>
          <w:rFonts w:ascii="Calibri" w:eastAsia="Times New Roman" w:hAnsi="Calibri" w:cs="Times New Roman"/>
          <w:i/>
          <w:color w:val="000000"/>
          <w:lang w:eastAsia="en-GB"/>
        </w:rPr>
        <w:t>Academy</w:t>
      </w:r>
      <w:r>
        <w:rPr>
          <w:rFonts w:ascii="Calibri" w:eastAsia="Times New Roman" w:hAnsi="Calibri" w:cs="Times New Roman"/>
          <w:i/>
          <w:color w:val="000000"/>
          <w:lang w:eastAsia="en-GB"/>
        </w:rPr>
        <w:t>)</w:t>
      </w:r>
    </w:p>
    <w:p w:rsidR="008258D8" w:rsidRDefault="008258D8" w:rsidP="000C2197">
      <w:pPr>
        <w:spacing w:after="0" w:line="240" w:lineRule="auto"/>
        <w:ind w:left="720" w:right="720" w:firstLine="720"/>
        <w:jc w:val="both"/>
        <w:rPr>
          <w:rFonts w:ascii="Calibri" w:eastAsia="Times New Roman" w:hAnsi="Calibri" w:cs="Times New Roman"/>
          <w:i/>
          <w:color w:val="000000"/>
          <w:lang w:eastAsia="en-GB"/>
        </w:rPr>
      </w:pPr>
    </w:p>
    <w:p w:rsidR="000C2197" w:rsidRDefault="008258D8" w:rsidP="000C2197">
      <w:pPr>
        <w:spacing w:after="0" w:line="240" w:lineRule="auto"/>
        <w:ind w:left="720" w:right="720"/>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S</w:t>
      </w:r>
      <w:r w:rsidRPr="008258D8">
        <w:rPr>
          <w:rFonts w:ascii="Calibri" w:eastAsia="Times New Roman" w:hAnsi="Calibri" w:cs="Times New Roman"/>
          <w:i/>
          <w:color w:val="000000"/>
          <w:lang w:eastAsia="en-GB"/>
        </w:rPr>
        <w:t>ome new to English students and students with low literacy, which means they won't be able to access the curriculum and probably won't get a grade.</w:t>
      </w:r>
    </w:p>
    <w:p w:rsidR="002214A3" w:rsidRPr="008258D8" w:rsidRDefault="002214A3" w:rsidP="000C2197">
      <w:pPr>
        <w:spacing w:after="0" w:line="240" w:lineRule="auto"/>
        <w:ind w:left="720" w:right="720"/>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(Respondent </w:t>
      </w:r>
      <w:proofErr w:type="gramStart"/>
      <w:r>
        <w:rPr>
          <w:rFonts w:ascii="Calibri" w:eastAsia="Times New Roman" w:hAnsi="Calibri" w:cs="Times New Roman"/>
          <w:i/>
          <w:color w:val="000000"/>
          <w:lang w:eastAsia="en-GB"/>
        </w:rPr>
        <w:t>531 ,</w:t>
      </w:r>
      <w:proofErr w:type="gramEnd"/>
      <w:r>
        <w:rPr>
          <w:rFonts w:ascii="Calibri" w:eastAsia="Times New Roman" w:hAnsi="Calibri" w:cs="Times New Roman"/>
          <w:i/>
          <w:color w:val="000000"/>
          <w:lang w:eastAsia="en-GB"/>
        </w:rPr>
        <w:t xml:space="preserve"> Comprehensive)</w:t>
      </w:r>
    </w:p>
    <w:p w:rsidR="00063B17" w:rsidRDefault="00063B17" w:rsidP="008258D8">
      <w:r>
        <w:br/>
        <w:t xml:space="preserve">As in the preceding comment, sometimes specific emphasis is placed on the inaccessibility of the course or of the exam requirements for students who are relatively new to learning English as an additional language: </w:t>
      </w:r>
    </w:p>
    <w:p w:rsidR="00063B17" w:rsidRPr="00063B17" w:rsidRDefault="00063B17" w:rsidP="000C2197">
      <w:pPr>
        <w:ind w:left="720" w:right="720"/>
        <w:mirrorIndents/>
        <w:jc w:val="both"/>
        <w:rPr>
          <w:i/>
        </w:rPr>
      </w:pPr>
      <w:r w:rsidRPr="00063B17">
        <w:rPr>
          <w:i/>
        </w:rPr>
        <w:t>We have a number of students who struggle with E</w:t>
      </w:r>
      <w:r>
        <w:rPr>
          <w:i/>
        </w:rPr>
        <w:t>ng</w:t>
      </w:r>
      <w:r w:rsidR="000C2197">
        <w:rPr>
          <w:i/>
        </w:rPr>
        <w:t xml:space="preserve">lish language and as a result </w:t>
      </w:r>
      <w:r w:rsidR="000C2197">
        <w:rPr>
          <w:i/>
        </w:rPr>
        <w:br/>
      </w:r>
      <w:r w:rsidRPr="00063B17">
        <w:rPr>
          <w:i/>
        </w:rPr>
        <w:t>find</w:t>
      </w:r>
      <w:r>
        <w:rPr>
          <w:i/>
        </w:rPr>
        <w:t xml:space="preserve"> h</w:t>
      </w:r>
      <w:r w:rsidRPr="00063B17">
        <w:rPr>
          <w:i/>
        </w:rPr>
        <w:t>istory impossible to access</w:t>
      </w:r>
      <w:r w:rsidR="002214A3">
        <w:rPr>
          <w:i/>
        </w:rPr>
        <w:t xml:space="preserve">. </w:t>
      </w:r>
      <w:r w:rsidR="000C2197">
        <w:rPr>
          <w:i/>
        </w:rPr>
        <w:t xml:space="preserve"> </w:t>
      </w:r>
      <w:r w:rsidR="000C2197">
        <w:rPr>
          <w:i/>
        </w:rPr>
        <w:tab/>
      </w:r>
      <w:r w:rsidR="000C2197">
        <w:rPr>
          <w:i/>
        </w:rPr>
        <w:tab/>
        <w:t xml:space="preserve">           (</w:t>
      </w:r>
      <w:r w:rsidR="002214A3">
        <w:rPr>
          <w:i/>
        </w:rPr>
        <w:t>Respondent 559, Independent School)</w:t>
      </w:r>
      <w:r w:rsidR="002214A3">
        <w:rPr>
          <w:i/>
        </w:rPr>
        <w:br/>
      </w:r>
      <w:r w:rsidR="002214A3">
        <w:rPr>
          <w:i/>
        </w:rPr>
        <w:tab/>
      </w:r>
      <w:r w:rsidR="002214A3">
        <w:rPr>
          <w:i/>
        </w:rPr>
        <w:tab/>
      </w:r>
      <w:r w:rsidR="002214A3">
        <w:rPr>
          <w:i/>
        </w:rPr>
        <w:tab/>
      </w:r>
      <w:r w:rsidR="002214A3">
        <w:rPr>
          <w:i/>
        </w:rPr>
        <w:tab/>
      </w:r>
      <w:r w:rsidR="002214A3">
        <w:rPr>
          <w:i/>
        </w:rPr>
        <w:tab/>
      </w:r>
      <w:r w:rsidR="002214A3">
        <w:rPr>
          <w:i/>
        </w:rPr>
        <w:tab/>
      </w:r>
      <w:r w:rsidR="002214A3">
        <w:rPr>
          <w:i/>
        </w:rPr>
        <w:tab/>
      </w:r>
    </w:p>
    <w:p w:rsidR="00063B17" w:rsidRDefault="00063B17" w:rsidP="000C2197">
      <w:pPr>
        <w:jc w:val="both"/>
        <w:rPr>
          <w:rFonts w:ascii="Calibri" w:eastAsia="Times New Roman" w:hAnsi="Calibri" w:cs="Times New Roman"/>
          <w:color w:val="000000"/>
          <w:lang w:eastAsia="en-GB"/>
        </w:rPr>
      </w:pPr>
      <w:r>
        <w:t>A quarter of the</w:t>
      </w:r>
      <w:r w:rsidR="00841DFC">
        <w:t xml:space="preserve"> comments </w:t>
      </w:r>
      <w:r w:rsidR="008258D8">
        <w:t xml:space="preserve">(54) </w:t>
      </w:r>
      <w:r w:rsidR="00841DFC">
        <w:t xml:space="preserve">referred in </w:t>
      </w:r>
      <w:r>
        <w:t xml:space="preserve">more </w:t>
      </w:r>
      <w:r w:rsidR="00841DFC">
        <w:t xml:space="preserve">general terms either to the difficulty of the subject or to the problems that </w:t>
      </w:r>
      <w:r w:rsidR="00B05482">
        <w:t>‘</w:t>
      </w:r>
      <w:r w:rsidR="00841DFC">
        <w:t>less able</w:t>
      </w:r>
      <w:r w:rsidR="00B05482">
        <w:t>’</w:t>
      </w:r>
      <w:r w:rsidR="00841DFC">
        <w:t xml:space="preserve"> student</w:t>
      </w:r>
      <w:r w:rsidR="00B05482">
        <w:t>s</w:t>
      </w:r>
      <w:r w:rsidR="00841DFC">
        <w:t xml:space="preserve"> would have with it. These were general reference</w:t>
      </w:r>
      <w:r w:rsidR="008258D8">
        <w:t>s to the demands of the subject</w:t>
      </w:r>
      <w:r w:rsidR="00841DFC">
        <w:t xml:space="preserve"> for ‘weaker’</w:t>
      </w:r>
      <w:r w:rsidR="00B05482">
        <w:t xml:space="preserve"> students or to </w:t>
      </w:r>
      <w:r w:rsidR="008258D8">
        <w:t>those in the ‘lower’ or ‘bottom’</w:t>
      </w:r>
      <w:r>
        <w:t xml:space="preserve"> sets, but ten comments focused particularly on those with ‘special learning needs’ of some kind or to those with ‘</w:t>
      </w:r>
      <w:r w:rsidRPr="00063B17">
        <w:rPr>
          <w:rFonts w:ascii="Calibri" w:eastAsia="Times New Roman" w:hAnsi="Calibri" w:cs="Times New Roman"/>
          <w:color w:val="000000"/>
          <w:lang w:eastAsia="en-GB"/>
        </w:rPr>
        <w:t>severe learning difficulties</w:t>
      </w:r>
      <w:r>
        <w:rPr>
          <w:rFonts w:ascii="Calibri" w:eastAsia="Times New Roman" w:hAnsi="Calibri" w:cs="Times New Roman"/>
          <w:color w:val="000000"/>
          <w:lang w:eastAsia="en-GB"/>
        </w:rPr>
        <w:t xml:space="preserve">’. </w:t>
      </w:r>
      <w:r w:rsidR="005663EA">
        <w:rPr>
          <w:rFonts w:ascii="Calibri" w:eastAsia="Times New Roman" w:hAnsi="Calibri" w:cs="Times New Roman"/>
          <w:color w:val="000000"/>
          <w:lang w:eastAsia="en-GB"/>
        </w:rPr>
        <w:t xml:space="preserve"> Nine of the respondents (4.5%) specifically pointed out the lack of tiered papers in history as </w:t>
      </w:r>
      <w:r w:rsidR="00B05482">
        <w:rPr>
          <w:rFonts w:ascii="Calibri" w:eastAsia="Times New Roman" w:hAnsi="Calibri" w:cs="Times New Roman"/>
          <w:color w:val="000000"/>
          <w:lang w:eastAsia="en-GB"/>
        </w:rPr>
        <w:t xml:space="preserve">the </w:t>
      </w:r>
      <w:r w:rsidR="005663EA">
        <w:rPr>
          <w:rFonts w:ascii="Calibri" w:eastAsia="Times New Roman" w:hAnsi="Calibri" w:cs="Times New Roman"/>
          <w:color w:val="000000"/>
          <w:lang w:eastAsia="en-GB"/>
        </w:rPr>
        <w:t xml:space="preserve">reason for particular students not being allowed to continue with the subject, a few of them </w:t>
      </w:r>
      <w:r w:rsidR="00B05482">
        <w:rPr>
          <w:rFonts w:ascii="Calibri" w:eastAsia="Times New Roman" w:hAnsi="Calibri" w:cs="Times New Roman"/>
          <w:color w:val="000000"/>
          <w:lang w:eastAsia="en-GB"/>
        </w:rPr>
        <w:t>contrasting the situation with g</w:t>
      </w:r>
      <w:r w:rsidR="005663EA">
        <w:rPr>
          <w:rFonts w:ascii="Calibri" w:eastAsia="Times New Roman" w:hAnsi="Calibri" w:cs="Times New Roman"/>
          <w:color w:val="000000"/>
          <w:lang w:eastAsia="en-GB"/>
        </w:rPr>
        <w:t xml:space="preserve">eography in which it was possible to undertake a ‘Foundation’ level paper. </w:t>
      </w:r>
    </w:p>
    <w:p w:rsidR="0052551B" w:rsidRDefault="00063B17" w:rsidP="000C2197">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Twenty per cent of the comments (40) explained their school’s policies in relation to the potential grades that the students were predicted to achieve or to the National Curriculum levels they were judged to have achieved at </w:t>
      </w:r>
      <w:r w:rsidR="00F8060B">
        <w:rPr>
          <w:rFonts w:ascii="Calibri" w:eastAsia="Times New Roman" w:hAnsi="Calibri" w:cs="Times New Roman"/>
          <w:color w:val="000000"/>
          <w:lang w:eastAsia="en-GB"/>
        </w:rPr>
        <w:t>Key Stage 3</w:t>
      </w:r>
      <w:r>
        <w:rPr>
          <w:rFonts w:ascii="Calibri" w:eastAsia="Times New Roman" w:hAnsi="Calibri" w:cs="Times New Roman"/>
          <w:color w:val="000000"/>
          <w:lang w:eastAsia="en-GB"/>
        </w:rPr>
        <w:t xml:space="preserve">. As last year, there was considerable variation both in terms of what kinds of grade were thought to be potentially worthwhile achievements, and in terms of the minimum level that students needed to have achieved already in order to be allowed to continue with the subject. While Grade C was most commonly seen as the minimum expectation, some schools regarded a </w:t>
      </w:r>
      <w:r w:rsidR="0052551B">
        <w:rPr>
          <w:rFonts w:ascii="Calibri" w:eastAsia="Times New Roman" w:hAnsi="Calibri" w:cs="Times New Roman"/>
          <w:color w:val="000000"/>
          <w:lang w:eastAsia="en-GB"/>
        </w:rPr>
        <w:t xml:space="preserve">potential </w:t>
      </w:r>
      <w:r w:rsidR="00325804">
        <w:rPr>
          <w:rFonts w:ascii="Calibri" w:eastAsia="Times New Roman" w:hAnsi="Calibri" w:cs="Times New Roman"/>
          <w:color w:val="000000"/>
          <w:lang w:eastAsia="en-GB"/>
        </w:rPr>
        <w:t xml:space="preserve">grade </w:t>
      </w:r>
      <w:r>
        <w:rPr>
          <w:rFonts w:ascii="Calibri" w:eastAsia="Times New Roman" w:hAnsi="Calibri" w:cs="Times New Roman"/>
          <w:color w:val="000000"/>
          <w:lang w:eastAsia="en-GB"/>
        </w:rPr>
        <w:t xml:space="preserve">D, or even a </w:t>
      </w:r>
      <w:r w:rsidR="00325804">
        <w:rPr>
          <w:rFonts w:ascii="Calibri" w:eastAsia="Times New Roman" w:hAnsi="Calibri" w:cs="Times New Roman"/>
          <w:color w:val="000000"/>
          <w:lang w:eastAsia="en-GB"/>
        </w:rPr>
        <w:t>grade</w:t>
      </w:r>
      <w:r>
        <w:rPr>
          <w:rFonts w:ascii="Calibri" w:eastAsia="Times New Roman" w:hAnsi="Calibri" w:cs="Times New Roman"/>
          <w:color w:val="000000"/>
          <w:lang w:eastAsia="en-GB"/>
        </w:rPr>
        <w:t xml:space="preserve"> F or G</w:t>
      </w:r>
      <w:r w:rsidR="00E129DA">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as </w:t>
      </w:r>
      <w:r w:rsidR="0052551B">
        <w:rPr>
          <w:rFonts w:ascii="Calibri" w:eastAsia="Times New Roman" w:hAnsi="Calibri" w:cs="Times New Roman"/>
          <w:color w:val="000000"/>
          <w:lang w:eastAsia="en-GB"/>
        </w:rPr>
        <w:t xml:space="preserve">making it worthwhile to continue with the subject. The same kind variation was evident among those who worked on the basis of students’ current achievements. Most commonly schools restricted the option to those who were judged to be working at level 5 at least within the National Curriculum, but some insisted on level 6, while others were prepared to accept students working at level 4. </w:t>
      </w:r>
    </w:p>
    <w:p w:rsidR="0052551B" w:rsidRDefault="0052551B" w:rsidP="000C2197">
      <w:pPr>
        <w:spacing w:after="0"/>
        <w:ind w:left="720" w:right="720"/>
        <w:jc w:val="both"/>
        <w:rPr>
          <w:rFonts w:ascii="Calibri" w:eastAsia="Times New Roman" w:hAnsi="Calibri" w:cs="Times New Roman"/>
          <w:i/>
          <w:color w:val="000000"/>
          <w:lang w:eastAsia="en-GB"/>
        </w:rPr>
      </w:pPr>
      <w:r w:rsidRPr="0052551B">
        <w:rPr>
          <w:rFonts w:ascii="Calibri" w:eastAsia="Times New Roman" w:hAnsi="Calibri" w:cs="Times New Roman"/>
          <w:i/>
          <w:color w:val="000000"/>
          <w:lang w:eastAsia="en-GB"/>
        </w:rPr>
        <w:t xml:space="preserve">They must have Level 5 </w:t>
      </w:r>
      <w:proofErr w:type="gramStart"/>
      <w:r w:rsidRPr="0052551B">
        <w:rPr>
          <w:rFonts w:ascii="Calibri" w:eastAsia="Times New Roman" w:hAnsi="Calibri" w:cs="Times New Roman"/>
          <w:i/>
          <w:color w:val="000000"/>
          <w:lang w:eastAsia="en-GB"/>
        </w:rPr>
        <w:t>English,</w:t>
      </w:r>
      <w:proofErr w:type="gramEnd"/>
      <w:r w:rsidRPr="0052551B">
        <w:rPr>
          <w:rFonts w:ascii="Calibri" w:eastAsia="Times New Roman" w:hAnsi="Calibri" w:cs="Times New Roman"/>
          <w:i/>
          <w:color w:val="000000"/>
          <w:lang w:eastAsia="en-GB"/>
        </w:rPr>
        <w:t xml:space="preserve"> and now because it is to be made even harder, that will change to Level 6 English.</w:t>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t xml:space="preserve">    </w:t>
      </w:r>
      <w:r w:rsidR="000C2197">
        <w:rPr>
          <w:rFonts w:ascii="Calibri" w:eastAsia="Times New Roman" w:hAnsi="Calibri" w:cs="Times New Roman"/>
          <w:i/>
          <w:color w:val="000000"/>
          <w:lang w:eastAsia="en-GB"/>
        </w:rPr>
        <w:t xml:space="preserve">              </w:t>
      </w:r>
      <w:r w:rsidR="002214A3">
        <w:rPr>
          <w:rFonts w:ascii="Calibri" w:eastAsia="Times New Roman" w:hAnsi="Calibri" w:cs="Times New Roman"/>
          <w:i/>
          <w:color w:val="000000"/>
          <w:lang w:eastAsia="en-GB"/>
        </w:rPr>
        <w:t>(Respondent 273, Comprehensive)</w:t>
      </w:r>
    </w:p>
    <w:p w:rsidR="00E102B0" w:rsidRDefault="00E102B0" w:rsidP="000C2197">
      <w:pPr>
        <w:spacing w:after="0" w:line="240" w:lineRule="auto"/>
        <w:ind w:left="720" w:right="720"/>
        <w:jc w:val="both"/>
        <w:rPr>
          <w:rFonts w:ascii="Calibri" w:eastAsia="Times New Roman" w:hAnsi="Calibri" w:cs="Times New Roman"/>
          <w:i/>
          <w:color w:val="000000"/>
          <w:lang w:eastAsia="en-GB"/>
        </w:rPr>
      </w:pPr>
    </w:p>
    <w:p w:rsidR="00E102B0" w:rsidRPr="0052551B" w:rsidRDefault="00E102B0" w:rsidP="000C2197">
      <w:pPr>
        <w:spacing w:after="0"/>
        <w:ind w:left="720" w:right="720"/>
        <w:jc w:val="both"/>
        <w:rPr>
          <w:rFonts w:ascii="Calibri" w:eastAsia="Times New Roman" w:hAnsi="Calibri" w:cs="Times New Roman"/>
          <w:i/>
          <w:color w:val="000000"/>
          <w:lang w:eastAsia="en-GB"/>
        </w:rPr>
      </w:pPr>
      <w:r w:rsidRPr="00E102B0">
        <w:rPr>
          <w:rFonts w:ascii="Calibri" w:eastAsia="Times New Roman" w:hAnsi="Calibri" w:cs="Times New Roman"/>
          <w:i/>
          <w:color w:val="000000"/>
          <w:lang w:eastAsia="en-GB"/>
        </w:rPr>
        <w:t>It does not appear as a</w:t>
      </w:r>
      <w:r>
        <w:rPr>
          <w:rFonts w:ascii="Calibri" w:eastAsia="Times New Roman" w:hAnsi="Calibri" w:cs="Times New Roman"/>
          <w:i/>
          <w:color w:val="000000"/>
          <w:lang w:eastAsia="en-GB"/>
        </w:rPr>
        <w:t xml:space="preserve">n option for v small number of </w:t>
      </w:r>
      <w:r w:rsidRPr="00E102B0">
        <w:rPr>
          <w:rFonts w:ascii="Calibri" w:eastAsia="Times New Roman" w:hAnsi="Calibri" w:cs="Times New Roman"/>
          <w:i/>
          <w:color w:val="000000"/>
          <w:lang w:eastAsia="en-GB"/>
        </w:rPr>
        <w:t>students with a reading age below 9 and who haven't achieved a L</w:t>
      </w:r>
      <w:r w:rsidR="000C2197">
        <w:rPr>
          <w:rFonts w:ascii="Calibri" w:eastAsia="Times New Roman" w:hAnsi="Calibri" w:cs="Times New Roman"/>
          <w:i/>
          <w:color w:val="000000"/>
          <w:lang w:eastAsia="en-GB"/>
        </w:rPr>
        <w:t xml:space="preserve">evel </w:t>
      </w:r>
      <w:r w:rsidRPr="00E102B0">
        <w:rPr>
          <w:rFonts w:ascii="Calibri" w:eastAsia="Times New Roman" w:hAnsi="Calibri" w:cs="Times New Roman"/>
          <w:i/>
          <w:color w:val="000000"/>
          <w:lang w:eastAsia="en-GB"/>
        </w:rPr>
        <w:t xml:space="preserve">4 at </w:t>
      </w:r>
      <w:r w:rsidR="00F8060B">
        <w:rPr>
          <w:rFonts w:ascii="Calibri" w:eastAsia="Times New Roman" w:hAnsi="Calibri" w:cs="Times New Roman"/>
          <w:i/>
          <w:color w:val="000000"/>
          <w:lang w:eastAsia="en-GB"/>
        </w:rPr>
        <w:t>K</w:t>
      </w:r>
      <w:r w:rsidR="000C2197">
        <w:rPr>
          <w:rFonts w:ascii="Calibri" w:eastAsia="Times New Roman" w:hAnsi="Calibri" w:cs="Times New Roman"/>
          <w:i/>
          <w:color w:val="000000"/>
          <w:lang w:eastAsia="en-GB"/>
        </w:rPr>
        <w:t>ey Stage 3</w:t>
      </w:r>
      <w:r w:rsidRPr="00E102B0">
        <w:rPr>
          <w:rFonts w:ascii="Calibri" w:eastAsia="Times New Roman" w:hAnsi="Calibri" w:cs="Times New Roman"/>
          <w:i/>
          <w:color w:val="000000"/>
          <w:lang w:eastAsia="en-GB"/>
        </w:rPr>
        <w:t>. They do Prince</w:t>
      </w:r>
      <w:r>
        <w:rPr>
          <w:rFonts w:ascii="Calibri" w:eastAsia="Times New Roman" w:hAnsi="Calibri" w:cs="Times New Roman"/>
          <w:i/>
          <w:color w:val="000000"/>
          <w:lang w:eastAsia="en-GB"/>
        </w:rPr>
        <w:t>’</w:t>
      </w:r>
      <w:r w:rsidRPr="00E102B0">
        <w:rPr>
          <w:rFonts w:ascii="Calibri" w:eastAsia="Times New Roman" w:hAnsi="Calibri" w:cs="Times New Roman"/>
          <w:i/>
          <w:color w:val="000000"/>
          <w:lang w:eastAsia="en-GB"/>
        </w:rPr>
        <w:t>s Trust instead.</w:t>
      </w:r>
      <w:r w:rsidR="002214A3">
        <w:rPr>
          <w:rFonts w:ascii="Calibri" w:eastAsia="Times New Roman" w:hAnsi="Calibri" w:cs="Times New Roman"/>
          <w:i/>
          <w:color w:val="000000"/>
          <w:lang w:eastAsia="en-GB"/>
        </w:rPr>
        <w:br/>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t xml:space="preserve">     </w:t>
      </w:r>
      <w:r w:rsidR="000C2197">
        <w:rPr>
          <w:rFonts w:ascii="Calibri" w:eastAsia="Times New Roman" w:hAnsi="Calibri" w:cs="Times New Roman"/>
          <w:i/>
          <w:color w:val="000000"/>
          <w:lang w:eastAsia="en-GB"/>
        </w:rPr>
        <w:t xml:space="preserve">             </w:t>
      </w:r>
      <w:r w:rsidR="002214A3">
        <w:rPr>
          <w:rFonts w:ascii="Calibri" w:eastAsia="Times New Roman" w:hAnsi="Calibri" w:cs="Times New Roman"/>
          <w:i/>
          <w:color w:val="000000"/>
          <w:lang w:eastAsia="en-GB"/>
        </w:rPr>
        <w:t xml:space="preserve"> (Respondent 523, New </w:t>
      </w:r>
      <w:proofErr w:type="spellStart"/>
      <w:r w:rsidR="002214A3">
        <w:rPr>
          <w:rFonts w:ascii="Calibri" w:eastAsia="Times New Roman" w:hAnsi="Calibri" w:cs="Times New Roman"/>
          <w:i/>
          <w:color w:val="000000"/>
          <w:lang w:eastAsia="en-GB"/>
        </w:rPr>
        <w:t>Aacdemy</w:t>
      </w:r>
      <w:proofErr w:type="spellEnd"/>
      <w:r w:rsidR="002214A3">
        <w:rPr>
          <w:rFonts w:ascii="Calibri" w:eastAsia="Times New Roman" w:hAnsi="Calibri" w:cs="Times New Roman"/>
          <w:i/>
          <w:color w:val="000000"/>
          <w:lang w:eastAsia="en-GB"/>
        </w:rPr>
        <w:t>)</w:t>
      </w:r>
    </w:p>
    <w:p w:rsidR="0052551B" w:rsidRDefault="0052551B" w:rsidP="00063B17">
      <w:pPr>
        <w:rPr>
          <w:rFonts w:ascii="Calibri" w:eastAsia="Times New Roman" w:hAnsi="Calibri" w:cs="Times New Roman"/>
          <w:color w:val="000000"/>
          <w:lang w:eastAsia="en-GB"/>
        </w:rPr>
      </w:pPr>
    </w:p>
    <w:p w:rsidR="0052551B" w:rsidRDefault="0052551B" w:rsidP="00063B17">
      <w:pP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The differences between schools were even more pronounced in terms of whether judgments made by the school were regarded as fixed and binding or merely advisory; and how far they allowed the students’ interest in the subject to outweigh judgements about their likely or current success:</w:t>
      </w:r>
    </w:p>
    <w:p w:rsidR="0052551B" w:rsidRDefault="0052551B" w:rsidP="000C2197">
      <w:pPr>
        <w:spacing w:after="0" w:line="240" w:lineRule="auto"/>
        <w:ind w:left="720" w:right="720"/>
        <w:jc w:val="both"/>
        <w:rPr>
          <w:rFonts w:ascii="Calibri" w:eastAsia="Times New Roman" w:hAnsi="Calibri" w:cs="Times New Roman"/>
          <w:i/>
          <w:color w:val="000000"/>
          <w:lang w:eastAsia="en-GB"/>
        </w:rPr>
      </w:pPr>
      <w:r w:rsidRPr="0052551B">
        <w:rPr>
          <w:rFonts w:ascii="Calibri" w:eastAsia="Times New Roman" w:hAnsi="Calibri" w:cs="Times New Roman"/>
          <w:i/>
          <w:color w:val="000000"/>
          <w:lang w:eastAsia="en-GB"/>
        </w:rPr>
        <w:t>If the data says the child will not receive a C grade or above they are not put on the course, even if they picked it. They are made to do a course they can get a C or above in.</w:t>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t xml:space="preserve">    </w:t>
      </w:r>
      <w:r w:rsidR="002214A3">
        <w:rPr>
          <w:rFonts w:ascii="Calibri" w:eastAsia="Times New Roman" w:hAnsi="Calibri" w:cs="Times New Roman"/>
          <w:i/>
          <w:color w:val="000000"/>
          <w:lang w:eastAsia="en-GB"/>
        </w:rPr>
        <w:t>(Respondent 170, Comprehensive)</w:t>
      </w:r>
      <w:r>
        <w:rPr>
          <w:rFonts w:ascii="Calibri" w:eastAsia="Times New Roman" w:hAnsi="Calibri" w:cs="Times New Roman"/>
          <w:i/>
          <w:color w:val="000000"/>
          <w:lang w:eastAsia="en-GB"/>
        </w:rPr>
        <w:br/>
      </w:r>
    </w:p>
    <w:p w:rsidR="0052551B" w:rsidRDefault="0052551B" w:rsidP="000C2197">
      <w:pPr>
        <w:ind w:left="720" w:right="720"/>
        <w:jc w:val="both"/>
        <w:rPr>
          <w:rFonts w:ascii="Calibri" w:eastAsia="Times New Roman" w:hAnsi="Calibri" w:cs="Times New Roman"/>
          <w:i/>
          <w:color w:val="000000"/>
          <w:lang w:eastAsia="en-GB"/>
        </w:rPr>
      </w:pPr>
      <w:r w:rsidRPr="0052551B">
        <w:rPr>
          <w:rFonts w:ascii="Calibri" w:eastAsia="Times New Roman" w:hAnsi="Calibri" w:cs="Times New Roman"/>
          <w:i/>
          <w:color w:val="000000"/>
          <w:lang w:eastAsia="en-GB"/>
        </w:rPr>
        <w:t>Sometimes those students who are felt to be unlikely to be able to achieve a grade C are discouraged from taking the subject - though if they show real enthusiasm for the subject they are allowed to choose it.</w:t>
      </w:r>
      <w:r w:rsidR="002214A3">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t xml:space="preserve">        </w:t>
      </w:r>
      <w:r w:rsidR="002214A3">
        <w:rPr>
          <w:rFonts w:ascii="Calibri" w:eastAsia="Times New Roman" w:hAnsi="Calibri" w:cs="Times New Roman"/>
          <w:i/>
          <w:color w:val="000000"/>
          <w:lang w:eastAsia="en-GB"/>
        </w:rPr>
        <w:t>(Respondent 12, New Academy)</w:t>
      </w:r>
    </w:p>
    <w:p w:rsidR="0052551B" w:rsidRDefault="0052551B" w:rsidP="0052551B">
      <w:pPr>
        <w:ind w:left="720" w:right="720"/>
        <w:rPr>
          <w:rFonts w:ascii="Calibri" w:eastAsia="Times New Roman" w:hAnsi="Calibri" w:cs="Times New Roman"/>
          <w:i/>
          <w:color w:val="000000"/>
          <w:lang w:eastAsia="en-GB"/>
        </w:rPr>
      </w:pPr>
      <w:r w:rsidRPr="0052551B">
        <w:rPr>
          <w:rFonts w:ascii="Calibri" w:eastAsia="Times New Roman" w:hAnsi="Calibri" w:cs="Times New Roman"/>
          <w:i/>
          <w:color w:val="000000"/>
          <w:lang w:eastAsia="en-GB"/>
        </w:rPr>
        <w:t xml:space="preserve">Those in the bottom pathway do not have the subject in their options booklet.  However, I can allow those with a special interest to take it as long as their </w:t>
      </w:r>
      <w:r w:rsidR="00F8060B">
        <w:rPr>
          <w:rFonts w:ascii="Calibri" w:eastAsia="Times New Roman" w:hAnsi="Calibri" w:cs="Times New Roman"/>
          <w:i/>
          <w:color w:val="000000"/>
          <w:lang w:eastAsia="en-GB"/>
        </w:rPr>
        <w:t>KEY STAGE 3</w:t>
      </w:r>
      <w:r w:rsidRPr="0052551B">
        <w:rPr>
          <w:rFonts w:ascii="Calibri" w:eastAsia="Times New Roman" w:hAnsi="Calibri" w:cs="Times New Roman"/>
          <w:i/>
          <w:color w:val="000000"/>
          <w:lang w:eastAsia="en-GB"/>
        </w:rPr>
        <w:t xml:space="preserve"> </w:t>
      </w:r>
      <w:proofErr w:type="gramStart"/>
      <w:r w:rsidRPr="0052551B">
        <w:rPr>
          <w:rFonts w:ascii="Calibri" w:eastAsia="Times New Roman" w:hAnsi="Calibri" w:cs="Times New Roman"/>
          <w:i/>
          <w:color w:val="000000"/>
          <w:lang w:eastAsia="en-GB"/>
        </w:rPr>
        <w:t>work</w:t>
      </w:r>
      <w:proofErr w:type="gramEnd"/>
      <w:r w:rsidRPr="0052551B">
        <w:rPr>
          <w:rFonts w:ascii="Calibri" w:eastAsia="Times New Roman" w:hAnsi="Calibri" w:cs="Times New Roman"/>
          <w:i/>
          <w:color w:val="000000"/>
          <w:lang w:eastAsia="en-GB"/>
        </w:rPr>
        <w:t xml:space="preserve"> suggests they will be able to get above a G grade.</w:t>
      </w:r>
      <w:r w:rsidR="002214A3">
        <w:rPr>
          <w:rFonts w:ascii="Calibri" w:eastAsia="Times New Roman" w:hAnsi="Calibri" w:cs="Times New Roman"/>
          <w:i/>
          <w:color w:val="000000"/>
          <w:lang w:eastAsia="en-GB"/>
        </w:rPr>
        <w:t xml:space="preserve"> </w:t>
      </w:r>
      <w:r w:rsidR="002214A3">
        <w:rPr>
          <w:rFonts w:ascii="Calibri" w:eastAsia="Times New Roman" w:hAnsi="Calibri" w:cs="Times New Roman"/>
          <w:i/>
          <w:color w:val="000000"/>
          <w:lang w:eastAsia="en-GB"/>
        </w:rPr>
        <w:tab/>
      </w:r>
      <w:r w:rsidR="002214A3">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 xml:space="preserve">   </w:t>
      </w:r>
      <w:r w:rsidR="002214A3">
        <w:rPr>
          <w:rFonts w:ascii="Calibri" w:eastAsia="Times New Roman" w:hAnsi="Calibri" w:cs="Times New Roman"/>
          <w:i/>
          <w:color w:val="000000"/>
          <w:lang w:eastAsia="en-GB"/>
        </w:rPr>
        <w:t xml:space="preserve">(Respondent 234, Comprehensive) </w:t>
      </w:r>
    </w:p>
    <w:p w:rsidR="00E129DA" w:rsidRDefault="00E129DA" w:rsidP="000C2197">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 the above comment illustrates, many schools made use of ‘pathway’ options system in which students were essentially guided (or forced) into following particular routes in which certain qualifications were simply not offered to them. Twenty-five of the comments </w:t>
      </w:r>
      <w:r w:rsidR="002214A3">
        <w:rPr>
          <w:rFonts w:ascii="Calibri" w:eastAsia="Times New Roman" w:hAnsi="Calibri" w:cs="Times New Roman"/>
          <w:color w:val="000000"/>
          <w:lang w:eastAsia="en-GB"/>
        </w:rPr>
        <w:t xml:space="preserve">(13%) </w:t>
      </w:r>
      <w:r>
        <w:rPr>
          <w:rFonts w:ascii="Calibri" w:eastAsia="Times New Roman" w:hAnsi="Calibri" w:cs="Times New Roman"/>
          <w:color w:val="000000"/>
          <w:lang w:eastAsia="en-GB"/>
        </w:rPr>
        <w:t>referred explicitly to pathways and those following ‘vocational’ paths often were not even offered a history course of any kind. A few mentioned alternatives such as the ASDAN qualification or a GCSE in Humanities which could include elements of history, but most simply referred to BTECs</w:t>
      </w:r>
      <w:r w:rsidR="002214A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p>
    <w:p w:rsidR="00063B17" w:rsidRDefault="00E129DA" w:rsidP="000C2197">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Generally prior or predicted achievement was regarded as a more important criterion than the students’ attitude towards or interest in the subject, but in a few cases a lack of interest or enthusiasm was essentially a seen as a prohibiting factor. </w:t>
      </w:r>
    </w:p>
    <w:p w:rsidR="00E129DA" w:rsidRPr="00063B17" w:rsidRDefault="005663EA" w:rsidP="000C2197">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Other factors that were not necessarily associated with the nature or perceived challenges of the subject also operated in some cases, such as group sizes or particular timetabling issues making it impossible to combine certain subjects.  </w:t>
      </w:r>
    </w:p>
    <w:p w:rsidR="00841DFC" w:rsidRDefault="005663EA" w:rsidP="000C2197">
      <w:pPr>
        <w:jc w:val="both"/>
      </w:pPr>
      <w:r>
        <w:t xml:space="preserve">As last year, it is clear that while </w:t>
      </w:r>
      <w:r w:rsidR="00325804">
        <w:t>most</w:t>
      </w:r>
      <w:r>
        <w:t xml:space="preserve"> schools do give their students a genuinely free choice about continuing with the subject at GCSE, and encourage all those with a genuine interest to continue either with a GCSE course in history or a programme that includes a significant element of history, others simply rule out the option of any kind of history study</w:t>
      </w:r>
      <w:r w:rsidR="00467E85">
        <w:t xml:space="preserve"> beyond the end of </w:t>
      </w:r>
      <w:r w:rsidR="00F8060B">
        <w:t>Key Stage 3</w:t>
      </w:r>
      <w:r w:rsidR="00B05482">
        <w:t xml:space="preserve"> for those who do not meet minimum requirements in terms of their current or expected attainment</w:t>
      </w:r>
      <w:r w:rsidR="00467E85">
        <w:t xml:space="preserve">. </w:t>
      </w:r>
      <w:r>
        <w:t>There is certainly no sense of national entitlement that any student who wishes to continue with the subject</w:t>
      </w:r>
      <w:r w:rsidR="00467E85">
        <w:t xml:space="preserve"> beyond the age of 14 has the right to do so. </w:t>
      </w:r>
      <w:r>
        <w:t xml:space="preserve"> </w:t>
      </w:r>
      <w:r w:rsidR="004438CA">
        <w:t xml:space="preserve">Although schools might argue that it is in students’ interests to seek to maximise their </w:t>
      </w:r>
      <w:r w:rsidR="00325804">
        <w:t xml:space="preserve">chances of achieving GCSE passes at grades A*-C, it </w:t>
      </w:r>
      <w:r w:rsidR="004438CA">
        <w:t>would appear</w:t>
      </w:r>
      <w:r w:rsidR="00325804">
        <w:t xml:space="preserve"> that their concern to steer particular students away from history GCSE may sometimes owe</w:t>
      </w:r>
      <w:r w:rsidR="004438CA">
        <w:t>s</w:t>
      </w:r>
      <w:r w:rsidR="00325804">
        <w:t xml:space="preserve"> more to </w:t>
      </w:r>
      <w:r w:rsidR="004438CA">
        <w:t>a concern to protect</w:t>
      </w:r>
      <w:r w:rsidR="00325804">
        <w:t xml:space="preserve"> their own ‘league table</w:t>
      </w:r>
      <w:r w:rsidR="004438CA">
        <w:t>’</w:t>
      </w:r>
      <w:r w:rsidR="00325804">
        <w:t xml:space="preserve"> position, than it does to </w:t>
      </w:r>
      <w:r w:rsidR="004438CA">
        <w:t xml:space="preserve">a commitment to cater effectively for the needs and interests of individual students. </w:t>
      </w:r>
    </w:p>
    <w:p w:rsidR="00144B30" w:rsidRDefault="00A511AD" w:rsidP="000C2197">
      <w:pPr>
        <w:jc w:val="both"/>
        <w:rPr>
          <w:rFonts w:ascii="Calibri" w:eastAsia="Times New Roman" w:hAnsi="Calibri" w:cs="Times New Roman"/>
          <w:b/>
          <w:bCs/>
          <w:color w:val="000000"/>
          <w:sz w:val="24"/>
          <w:szCs w:val="24"/>
          <w:lang w:eastAsia="en-GB"/>
        </w:rPr>
      </w:pPr>
      <w:r>
        <w:rPr>
          <w:b/>
          <w:sz w:val="24"/>
          <w:szCs w:val="24"/>
        </w:rPr>
        <w:t>4.6</w:t>
      </w:r>
      <w:r w:rsidR="00E46D78">
        <w:rPr>
          <w:b/>
          <w:sz w:val="24"/>
          <w:szCs w:val="24"/>
        </w:rPr>
        <w:t xml:space="preserve"> T</w:t>
      </w:r>
      <w:r w:rsidR="00144B30" w:rsidRPr="00B05482">
        <w:rPr>
          <w:b/>
          <w:sz w:val="24"/>
          <w:szCs w:val="24"/>
        </w:rPr>
        <w:t xml:space="preserve">he potential impact on history provision of </w:t>
      </w:r>
      <w:r w:rsidR="00144B30" w:rsidRPr="00B05482">
        <w:rPr>
          <w:rFonts w:ascii="Calibri" w:eastAsia="Times New Roman" w:hAnsi="Calibri" w:cs="Times New Roman"/>
          <w:b/>
          <w:bCs/>
          <w:color w:val="000000"/>
          <w:sz w:val="24"/>
          <w:szCs w:val="24"/>
          <w:lang w:eastAsia="en-GB"/>
        </w:rPr>
        <w:t>a new measure of achievement based on an average grade value-</w:t>
      </w:r>
      <w:r w:rsidR="001B13F0" w:rsidRPr="00B05482">
        <w:rPr>
          <w:rFonts w:ascii="Calibri" w:eastAsia="Times New Roman" w:hAnsi="Calibri" w:cs="Times New Roman"/>
          <w:b/>
          <w:bCs/>
          <w:color w:val="000000"/>
          <w:sz w:val="24"/>
          <w:szCs w:val="24"/>
          <w:lang w:eastAsia="en-GB"/>
        </w:rPr>
        <w:t>added score across eight</w:t>
      </w:r>
      <w:r w:rsidR="00144B30" w:rsidRPr="00B05482">
        <w:rPr>
          <w:rFonts w:ascii="Calibri" w:eastAsia="Times New Roman" w:hAnsi="Calibri" w:cs="Times New Roman"/>
          <w:b/>
          <w:bCs/>
          <w:color w:val="000000"/>
          <w:sz w:val="24"/>
          <w:szCs w:val="24"/>
          <w:lang w:eastAsia="en-GB"/>
        </w:rPr>
        <w:t xml:space="preserve"> subjects </w:t>
      </w:r>
    </w:p>
    <w:p w:rsidR="00502E59" w:rsidRDefault="00502E59" w:rsidP="000C2197">
      <w:pPr>
        <w:jc w:val="both"/>
        <w:rPr>
          <w:rFonts w:ascii="Calibri" w:eastAsia="Times New Roman" w:hAnsi="Calibri" w:cs="Times New Roman"/>
          <w:bCs/>
          <w:color w:val="000000"/>
          <w:lang w:eastAsia="en-GB"/>
        </w:rPr>
      </w:pPr>
      <w:r w:rsidRPr="00502E59">
        <w:rPr>
          <w:rFonts w:ascii="Calibri" w:eastAsia="Times New Roman" w:hAnsi="Calibri" w:cs="Times New Roman"/>
          <w:bCs/>
          <w:color w:val="000000"/>
          <w:lang w:eastAsia="en-GB"/>
        </w:rPr>
        <w:t xml:space="preserve">As part of its consultation about changes to the curriculum, </w:t>
      </w:r>
      <w:r w:rsidR="00787739">
        <w:rPr>
          <w:rFonts w:ascii="Calibri" w:eastAsia="Times New Roman" w:hAnsi="Calibri" w:cs="Times New Roman"/>
          <w:bCs/>
          <w:color w:val="000000"/>
          <w:lang w:eastAsia="en-GB"/>
        </w:rPr>
        <w:t xml:space="preserve">announced in February 2013, </w:t>
      </w:r>
      <w:r w:rsidRPr="00502E59">
        <w:rPr>
          <w:rFonts w:ascii="Calibri" w:eastAsia="Times New Roman" w:hAnsi="Calibri" w:cs="Times New Roman"/>
          <w:bCs/>
          <w:color w:val="000000"/>
          <w:lang w:eastAsia="en-GB"/>
        </w:rPr>
        <w:t>the Department of Education proposed a new accountability measure for assessing and reporting on the achievement of schools. It was suggested that this should be a value-added measure comparing students’ achievement in</w:t>
      </w:r>
      <w:r>
        <w:rPr>
          <w:rFonts w:ascii="Calibri" w:eastAsia="Times New Roman" w:hAnsi="Calibri" w:cs="Times New Roman"/>
          <w:bCs/>
          <w:color w:val="000000"/>
          <w:lang w:eastAsia="en-GB"/>
        </w:rPr>
        <w:t xml:space="preserve"> </w:t>
      </w:r>
      <w:r w:rsidRPr="00502E59">
        <w:rPr>
          <w:rFonts w:ascii="Calibri" w:eastAsia="Times New Roman" w:hAnsi="Calibri" w:cs="Times New Roman"/>
          <w:bCs/>
          <w:color w:val="000000"/>
          <w:lang w:eastAsia="en-GB"/>
        </w:rPr>
        <w:lastRenderedPageBreak/>
        <w:t xml:space="preserve">eight  GCSEs </w:t>
      </w:r>
      <w:r w:rsidR="00787739">
        <w:rPr>
          <w:rFonts w:ascii="Calibri" w:eastAsia="Times New Roman" w:hAnsi="Calibri" w:cs="Times New Roman"/>
          <w:bCs/>
          <w:color w:val="000000"/>
          <w:lang w:eastAsia="en-GB"/>
        </w:rPr>
        <w:t>subjects (including English and Maths, at least three of the E-</w:t>
      </w:r>
      <w:proofErr w:type="spellStart"/>
      <w:r w:rsidR="00787739">
        <w:rPr>
          <w:rFonts w:ascii="Calibri" w:eastAsia="Times New Roman" w:hAnsi="Calibri" w:cs="Times New Roman"/>
          <w:bCs/>
          <w:color w:val="000000"/>
          <w:lang w:eastAsia="en-GB"/>
        </w:rPr>
        <w:t>Bacc</w:t>
      </w:r>
      <w:proofErr w:type="spellEnd"/>
      <w:r w:rsidR="00787739">
        <w:rPr>
          <w:rFonts w:ascii="Calibri" w:eastAsia="Times New Roman" w:hAnsi="Calibri" w:cs="Times New Roman"/>
          <w:bCs/>
          <w:color w:val="000000"/>
          <w:lang w:eastAsia="en-GB"/>
        </w:rPr>
        <w:t xml:space="preserve"> subjects –  Sciences, MFL, History and Geography – and any three others, including </w:t>
      </w:r>
      <w:r w:rsidRPr="00502E59">
        <w:rPr>
          <w:rFonts w:ascii="Calibri" w:eastAsia="Times New Roman" w:hAnsi="Calibri" w:cs="Times New Roman"/>
          <w:bCs/>
          <w:color w:val="000000"/>
          <w:lang w:eastAsia="en-GB"/>
        </w:rPr>
        <w:t>equivalent qualification</w:t>
      </w:r>
      <w:r w:rsidR="00787739">
        <w:rPr>
          <w:rFonts w:ascii="Calibri" w:eastAsia="Times New Roman" w:hAnsi="Calibri" w:cs="Times New Roman"/>
          <w:bCs/>
          <w:color w:val="000000"/>
          <w:lang w:eastAsia="en-GB"/>
        </w:rPr>
        <w:t>s</w:t>
      </w:r>
      <w:r w:rsidRPr="00502E59">
        <w:rPr>
          <w:rFonts w:ascii="Calibri" w:eastAsia="Times New Roman" w:hAnsi="Calibri" w:cs="Times New Roman"/>
          <w:bCs/>
          <w:color w:val="000000"/>
          <w:lang w:eastAsia="en-GB"/>
        </w:rPr>
        <w:t xml:space="preserve">) with </w:t>
      </w:r>
      <w:r w:rsidR="00787739">
        <w:rPr>
          <w:rFonts w:ascii="Calibri" w:eastAsia="Times New Roman" w:hAnsi="Calibri" w:cs="Times New Roman"/>
          <w:bCs/>
          <w:color w:val="000000"/>
          <w:lang w:eastAsia="en-GB"/>
        </w:rPr>
        <w:t>the students’ prior</w:t>
      </w:r>
      <w:r w:rsidRPr="00502E59">
        <w:rPr>
          <w:rFonts w:ascii="Calibri" w:eastAsia="Times New Roman" w:hAnsi="Calibri" w:cs="Times New Roman"/>
          <w:bCs/>
          <w:color w:val="000000"/>
          <w:lang w:eastAsia="en-GB"/>
        </w:rPr>
        <w:t xml:space="preserve"> attainment in the Key Stage 2 SATS (taken in English and Maths). Respondents to the survey were asked how far they agreed with the suggestion that the use of such a measure would be an ‘appropriate way of calculating and reporting students' achievement and schools' performance’.    </w:t>
      </w:r>
      <w:r>
        <w:rPr>
          <w:rFonts w:ascii="Calibri" w:eastAsia="Times New Roman" w:hAnsi="Calibri" w:cs="Times New Roman"/>
          <w:bCs/>
          <w:color w:val="000000"/>
          <w:lang w:eastAsia="en-GB"/>
        </w:rPr>
        <w:t xml:space="preserve">A third of respondents gave neutral responses to the proposal; just over 45% disagreed with the suggestion and only 21% expressed support for the idea. </w:t>
      </w:r>
    </w:p>
    <w:p w:rsidR="00B77D79" w:rsidRDefault="00144B30" w:rsidP="000C2197">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Only 36 respondents chose to explain their answer about the how they thought the proposed 8-subject average measure might influence provision in their school and the range of expectations expressed was very varied, so no clear trends could be observed. In some cases schools seemed to have reacted to what they saw as an abandonment of the E-</w:t>
      </w:r>
      <w:proofErr w:type="spellStart"/>
      <w:r>
        <w:rPr>
          <w:rFonts w:ascii="Calibri" w:eastAsia="Times New Roman" w:hAnsi="Calibri" w:cs="Times New Roman"/>
          <w:bCs/>
          <w:color w:val="000000"/>
          <w:lang w:eastAsia="en-GB"/>
        </w:rPr>
        <w:t>Bacc</w:t>
      </w:r>
      <w:proofErr w:type="spellEnd"/>
      <w:r>
        <w:rPr>
          <w:rFonts w:ascii="Calibri" w:eastAsia="Times New Roman" w:hAnsi="Calibri" w:cs="Times New Roman"/>
          <w:bCs/>
          <w:color w:val="000000"/>
          <w:lang w:eastAsia="en-GB"/>
        </w:rPr>
        <w:t xml:space="preserve"> by giving students greater freedom to choose the subjects th</w:t>
      </w:r>
      <w:r w:rsidR="00B77D79">
        <w:rPr>
          <w:rFonts w:ascii="Calibri" w:eastAsia="Times New Roman" w:hAnsi="Calibri" w:cs="Times New Roman"/>
          <w:bCs/>
          <w:color w:val="000000"/>
          <w:lang w:eastAsia="en-GB"/>
        </w:rPr>
        <w:t>at they were most interested in and some history teacher</w:t>
      </w:r>
      <w:r w:rsidR="00787739">
        <w:rPr>
          <w:rFonts w:ascii="Calibri" w:eastAsia="Times New Roman" w:hAnsi="Calibri" w:cs="Times New Roman"/>
          <w:bCs/>
          <w:color w:val="000000"/>
          <w:lang w:eastAsia="en-GB"/>
        </w:rPr>
        <w:t>s feared that the boost that history’s</w:t>
      </w:r>
      <w:r w:rsidR="00B77D79">
        <w:rPr>
          <w:rFonts w:ascii="Calibri" w:eastAsia="Times New Roman" w:hAnsi="Calibri" w:cs="Times New Roman"/>
          <w:bCs/>
          <w:color w:val="000000"/>
          <w:lang w:eastAsia="en-GB"/>
        </w:rPr>
        <w:t xml:space="preserve"> inclusion </w:t>
      </w:r>
      <w:r w:rsidR="00787739">
        <w:rPr>
          <w:rFonts w:ascii="Calibri" w:eastAsia="Times New Roman" w:hAnsi="Calibri" w:cs="Times New Roman"/>
          <w:bCs/>
          <w:color w:val="000000"/>
          <w:lang w:eastAsia="en-GB"/>
        </w:rPr>
        <w:t>in the E-</w:t>
      </w:r>
      <w:proofErr w:type="spellStart"/>
      <w:r w:rsidR="00787739">
        <w:rPr>
          <w:rFonts w:ascii="Calibri" w:eastAsia="Times New Roman" w:hAnsi="Calibri" w:cs="Times New Roman"/>
          <w:bCs/>
          <w:color w:val="000000"/>
          <w:lang w:eastAsia="en-GB"/>
        </w:rPr>
        <w:t>Bacc</w:t>
      </w:r>
      <w:proofErr w:type="spellEnd"/>
      <w:r w:rsidR="00787739">
        <w:rPr>
          <w:rFonts w:ascii="Calibri" w:eastAsia="Times New Roman" w:hAnsi="Calibri" w:cs="Times New Roman"/>
          <w:bCs/>
          <w:color w:val="000000"/>
          <w:lang w:eastAsia="en-GB"/>
        </w:rPr>
        <w:t xml:space="preserve"> </w:t>
      </w:r>
      <w:r w:rsidR="00B77D79">
        <w:rPr>
          <w:rFonts w:ascii="Calibri" w:eastAsia="Times New Roman" w:hAnsi="Calibri" w:cs="Times New Roman"/>
          <w:bCs/>
          <w:color w:val="000000"/>
          <w:lang w:eastAsia="en-GB"/>
        </w:rPr>
        <w:t xml:space="preserve">had given to </w:t>
      </w:r>
      <w:r w:rsidR="00787739">
        <w:rPr>
          <w:rFonts w:ascii="Calibri" w:eastAsia="Times New Roman" w:hAnsi="Calibri" w:cs="Times New Roman"/>
          <w:bCs/>
          <w:color w:val="000000"/>
          <w:lang w:eastAsia="en-GB"/>
        </w:rPr>
        <w:t xml:space="preserve">the subject. </w:t>
      </w:r>
      <w:r w:rsidR="00B77D79">
        <w:rPr>
          <w:rFonts w:ascii="Calibri" w:eastAsia="Times New Roman" w:hAnsi="Calibri" w:cs="Times New Roman"/>
          <w:bCs/>
          <w:color w:val="000000"/>
          <w:lang w:eastAsia="en-GB"/>
        </w:rPr>
        <w:t>In others</w:t>
      </w:r>
      <w:r w:rsidR="00A41DC4">
        <w:rPr>
          <w:rFonts w:ascii="Calibri" w:eastAsia="Times New Roman" w:hAnsi="Calibri" w:cs="Times New Roman"/>
          <w:bCs/>
          <w:color w:val="000000"/>
          <w:lang w:eastAsia="en-GB"/>
        </w:rPr>
        <w:t>,</w:t>
      </w:r>
      <w:r w:rsidR="00B77D79">
        <w:rPr>
          <w:rFonts w:ascii="Calibri" w:eastAsia="Times New Roman" w:hAnsi="Calibri" w:cs="Times New Roman"/>
          <w:bCs/>
          <w:color w:val="000000"/>
          <w:lang w:eastAsia="en-GB"/>
        </w:rPr>
        <w:t xml:space="preserve"> teacher we</w:t>
      </w:r>
      <w:r w:rsidR="00A41DC4">
        <w:rPr>
          <w:rFonts w:ascii="Calibri" w:eastAsia="Times New Roman" w:hAnsi="Calibri" w:cs="Times New Roman"/>
          <w:bCs/>
          <w:color w:val="000000"/>
          <w:lang w:eastAsia="en-GB"/>
        </w:rPr>
        <w:t>lcomed the encouragement that the new measure</w:t>
      </w:r>
      <w:r w:rsidR="00B77D79">
        <w:rPr>
          <w:rFonts w:ascii="Calibri" w:eastAsia="Times New Roman" w:hAnsi="Calibri" w:cs="Times New Roman"/>
          <w:bCs/>
          <w:color w:val="000000"/>
          <w:lang w:eastAsia="en-GB"/>
        </w:rPr>
        <w:t xml:space="preserve"> seemed to give to a broader curriculum.  While some were hopeful that it would prevent time being taken away from history to invest in the core subjects, others were doubtful that the subject would be given any more time:  </w:t>
      </w:r>
    </w:p>
    <w:p w:rsidR="000C2197" w:rsidRDefault="00B77D79" w:rsidP="000C2197">
      <w:pPr>
        <w:spacing w:after="0"/>
        <w:ind w:left="720" w:right="720"/>
        <w:jc w:val="both"/>
        <w:rPr>
          <w:rFonts w:ascii="Calibri" w:eastAsia="Times New Roman" w:hAnsi="Calibri" w:cs="Times New Roman"/>
          <w:i/>
          <w:color w:val="000000"/>
          <w:lang w:eastAsia="en-GB"/>
        </w:rPr>
      </w:pPr>
      <w:r w:rsidRPr="00B77D79">
        <w:rPr>
          <w:rFonts w:ascii="Calibri" w:eastAsia="Times New Roman" w:hAnsi="Calibri" w:cs="Times New Roman"/>
          <w:i/>
          <w:color w:val="000000"/>
          <w:lang w:eastAsia="en-GB"/>
        </w:rPr>
        <w:t xml:space="preserve">This proposal may have a positive impact on GCSE History, to a degree.  The reason being that so many lessons are lost for extra core subject interventions and module exams, that if a school's performance was based on an 8 point average then history would most probably not lose the lessons to core subject intervention. </w:t>
      </w:r>
    </w:p>
    <w:p w:rsidR="00B77D79" w:rsidRPr="00B77D79" w:rsidRDefault="00D204E1" w:rsidP="000C2197">
      <w:pPr>
        <w:spacing w:after="0"/>
        <w:ind w:left="720" w:right="720"/>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t xml:space="preserve">    </w:t>
      </w:r>
      <w:r>
        <w:rPr>
          <w:rFonts w:ascii="Calibri" w:eastAsia="Times New Roman" w:hAnsi="Calibri" w:cs="Times New Roman"/>
          <w:i/>
          <w:color w:val="000000"/>
          <w:lang w:eastAsia="en-GB"/>
        </w:rPr>
        <w:t>(Respondent 333, Comprehensive)</w:t>
      </w:r>
    </w:p>
    <w:p w:rsidR="00B77D79" w:rsidRDefault="00B77D79" w:rsidP="000C2197">
      <w:pPr>
        <w:spacing w:after="0"/>
        <w:jc w:val="both"/>
        <w:rPr>
          <w:rFonts w:ascii="Calibri" w:eastAsia="Times New Roman" w:hAnsi="Calibri" w:cs="Times New Roman"/>
          <w:color w:val="000000"/>
          <w:lang w:eastAsia="en-GB"/>
        </w:rPr>
      </w:pPr>
    </w:p>
    <w:p w:rsidR="000C2197" w:rsidRDefault="00B77D79" w:rsidP="000C2197">
      <w:pPr>
        <w:spacing w:after="0"/>
        <w:ind w:left="720" w:right="720"/>
        <w:jc w:val="both"/>
        <w:rPr>
          <w:rFonts w:ascii="Calibri" w:eastAsia="Times New Roman" w:hAnsi="Calibri" w:cs="Times New Roman"/>
          <w:i/>
          <w:color w:val="000000"/>
          <w:lang w:eastAsia="en-GB"/>
        </w:rPr>
      </w:pPr>
      <w:r w:rsidRPr="00B77D79">
        <w:rPr>
          <w:rFonts w:ascii="Calibri" w:eastAsia="Times New Roman" w:hAnsi="Calibri" w:cs="Times New Roman"/>
          <w:i/>
          <w:color w:val="000000"/>
          <w:lang w:eastAsia="en-GB"/>
        </w:rPr>
        <w:t>Pupils will probably be pushed to do history but unlikely history w</w:t>
      </w:r>
      <w:r w:rsidR="00D204E1">
        <w:rPr>
          <w:rFonts w:ascii="Calibri" w:eastAsia="Times New Roman" w:hAnsi="Calibri" w:cs="Times New Roman"/>
          <w:i/>
          <w:color w:val="000000"/>
          <w:lang w:eastAsia="en-GB"/>
        </w:rPr>
        <w:t>ill be a higher priority for SLT</w:t>
      </w:r>
      <w:r w:rsidRPr="00B77D79">
        <w:rPr>
          <w:rFonts w:ascii="Calibri" w:eastAsia="Times New Roman" w:hAnsi="Calibri" w:cs="Times New Roman"/>
          <w:i/>
          <w:color w:val="000000"/>
          <w:lang w:eastAsia="en-GB"/>
        </w:rPr>
        <w:t>, unlikely history will get more time - essentially more pressure</w:t>
      </w:r>
      <w:r w:rsidR="00D204E1">
        <w:rPr>
          <w:rFonts w:ascii="Calibri" w:eastAsia="Times New Roman" w:hAnsi="Calibri" w:cs="Times New Roman"/>
          <w:i/>
          <w:color w:val="000000"/>
          <w:lang w:eastAsia="en-GB"/>
        </w:rPr>
        <w:t>.</w:t>
      </w:r>
    </w:p>
    <w:p w:rsidR="00B77D79" w:rsidRPr="00B77D79" w:rsidRDefault="000C2197" w:rsidP="000C2197">
      <w:pPr>
        <w:spacing w:after="0"/>
        <w:ind w:left="720" w:right="720"/>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Pr>
          <w:rFonts w:ascii="Calibri" w:eastAsia="Times New Roman" w:hAnsi="Calibri" w:cs="Times New Roman"/>
          <w:i/>
          <w:color w:val="000000"/>
          <w:lang w:eastAsia="en-GB"/>
        </w:rPr>
        <w:t xml:space="preserve">     </w:t>
      </w:r>
      <w:r w:rsidR="00D204E1">
        <w:rPr>
          <w:rFonts w:ascii="Calibri" w:eastAsia="Times New Roman" w:hAnsi="Calibri" w:cs="Times New Roman"/>
          <w:i/>
          <w:color w:val="000000"/>
          <w:lang w:eastAsia="en-GB"/>
        </w:rPr>
        <w:t>(Respondent 536, New Academy)</w:t>
      </w:r>
    </w:p>
    <w:p w:rsidR="00144B30" w:rsidRDefault="00745748" w:rsidP="000C2197">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br/>
      </w:r>
      <w:r w:rsidR="00B77D79">
        <w:rPr>
          <w:rFonts w:ascii="Calibri" w:eastAsia="Times New Roman" w:hAnsi="Calibri" w:cs="Times New Roman"/>
          <w:bCs/>
          <w:color w:val="000000"/>
          <w:lang w:eastAsia="en-GB"/>
        </w:rPr>
        <w:t>S</w:t>
      </w:r>
      <w:r w:rsidR="00144B30">
        <w:rPr>
          <w:rFonts w:ascii="Calibri" w:eastAsia="Times New Roman" w:hAnsi="Calibri" w:cs="Times New Roman"/>
          <w:bCs/>
          <w:color w:val="000000"/>
          <w:lang w:eastAsia="en-GB"/>
        </w:rPr>
        <w:t>ome teachers were confident that history in their school would be more highly valued by SLT because their department was seen as strong and capable of se</w:t>
      </w:r>
      <w:r w:rsidR="00B77D79">
        <w:rPr>
          <w:rFonts w:ascii="Calibri" w:eastAsia="Times New Roman" w:hAnsi="Calibri" w:cs="Times New Roman"/>
          <w:bCs/>
          <w:color w:val="000000"/>
          <w:lang w:eastAsia="en-GB"/>
        </w:rPr>
        <w:t>curing high grades for students:</w:t>
      </w:r>
      <w:r w:rsidR="00144B30">
        <w:rPr>
          <w:rFonts w:ascii="Calibri" w:eastAsia="Times New Roman" w:hAnsi="Calibri" w:cs="Times New Roman"/>
          <w:bCs/>
          <w:color w:val="000000"/>
          <w:lang w:eastAsia="en-GB"/>
        </w:rPr>
        <w:t xml:space="preserve"> </w:t>
      </w:r>
    </w:p>
    <w:p w:rsidR="00144B30" w:rsidRDefault="00144B30" w:rsidP="000C2197">
      <w:pPr>
        <w:spacing w:after="0"/>
        <w:ind w:left="720" w:right="720"/>
        <w:jc w:val="both"/>
        <w:rPr>
          <w:rFonts w:ascii="Calibri" w:eastAsia="Times New Roman" w:hAnsi="Calibri" w:cs="Times New Roman"/>
          <w:i/>
          <w:color w:val="000000"/>
          <w:lang w:eastAsia="en-GB"/>
        </w:rPr>
      </w:pPr>
      <w:r w:rsidRPr="00144B30">
        <w:rPr>
          <w:rFonts w:ascii="Calibri" w:eastAsia="Times New Roman" w:hAnsi="Calibri" w:cs="Times New Roman"/>
          <w:i/>
          <w:color w:val="000000"/>
          <w:lang w:eastAsia="en-GB"/>
        </w:rPr>
        <w:t>As value added scores in history tend to be high it will help to promote the subject to SMT.</w:t>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 xml:space="preserve">              </w:t>
      </w:r>
      <w:r w:rsidR="00D204E1">
        <w:rPr>
          <w:rFonts w:ascii="Calibri" w:eastAsia="Times New Roman" w:hAnsi="Calibri" w:cs="Times New Roman"/>
          <w:i/>
          <w:color w:val="000000"/>
          <w:lang w:eastAsia="en-GB"/>
        </w:rPr>
        <w:t>(Respondent 341, Grammar school)</w:t>
      </w:r>
    </w:p>
    <w:p w:rsidR="00144B30" w:rsidRPr="00144B30" w:rsidRDefault="00144B30" w:rsidP="000C2197">
      <w:pPr>
        <w:spacing w:after="0"/>
        <w:ind w:left="720" w:right="720"/>
        <w:jc w:val="both"/>
        <w:rPr>
          <w:rFonts w:ascii="Calibri" w:eastAsia="Times New Roman" w:hAnsi="Calibri" w:cs="Times New Roman"/>
          <w:bCs/>
          <w:i/>
          <w:color w:val="000000"/>
          <w:lang w:eastAsia="en-GB"/>
        </w:rPr>
      </w:pPr>
    </w:p>
    <w:p w:rsidR="00144B30" w:rsidRPr="00144B30" w:rsidRDefault="00144B30" w:rsidP="000C2197">
      <w:pPr>
        <w:spacing w:after="0"/>
        <w:ind w:left="720" w:right="720"/>
        <w:jc w:val="both"/>
        <w:rPr>
          <w:rFonts w:ascii="Calibri" w:eastAsia="Times New Roman" w:hAnsi="Calibri" w:cs="Times New Roman"/>
          <w:i/>
          <w:color w:val="000000"/>
          <w:lang w:eastAsia="en-GB"/>
        </w:rPr>
      </w:pPr>
      <w:r w:rsidRPr="00144B30">
        <w:rPr>
          <w:rFonts w:ascii="Calibri" w:eastAsia="Times New Roman" w:hAnsi="Calibri" w:cs="Times New Roman"/>
          <w:i/>
          <w:color w:val="000000"/>
          <w:lang w:eastAsia="en-GB"/>
        </w:rPr>
        <w:t>Since we currently get between 50 to 80% A*/</w:t>
      </w:r>
      <w:proofErr w:type="gramStart"/>
      <w:r w:rsidRPr="00144B30">
        <w:rPr>
          <w:rFonts w:ascii="Calibri" w:eastAsia="Times New Roman" w:hAnsi="Calibri" w:cs="Times New Roman"/>
          <w:i/>
          <w:color w:val="000000"/>
          <w:lang w:eastAsia="en-GB"/>
        </w:rPr>
        <w:t>A  grades</w:t>
      </w:r>
      <w:proofErr w:type="gramEnd"/>
      <w:r w:rsidRPr="00144B30">
        <w:rPr>
          <w:rFonts w:ascii="Calibri" w:eastAsia="Times New Roman" w:hAnsi="Calibri" w:cs="Times New Roman"/>
          <w:i/>
          <w:color w:val="000000"/>
          <w:lang w:eastAsia="en-GB"/>
        </w:rPr>
        <w:t>, and last year we had the highest percentage in the school of A*/A grades, I should think that the SMT might have an eye to the marketing potential of promoting the subject.</w:t>
      </w:r>
    </w:p>
    <w:p w:rsidR="00144B30" w:rsidRDefault="00D204E1" w:rsidP="000C2197">
      <w:pPr>
        <w:ind w:left="720" w:right="720"/>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ab/>
      </w:r>
      <w:r>
        <w:rPr>
          <w:rFonts w:ascii="Calibri" w:eastAsia="Times New Roman" w:hAnsi="Calibri" w:cs="Times New Roman"/>
          <w:bCs/>
          <w:i/>
          <w:color w:val="000000"/>
          <w:lang w:eastAsia="en-GB"/>
        </w:rPr>
        <w:tab/>
      </w:r>
      <w:r>
        <w:rPr>
          <w:rFonts w:ascii="Calibri" w:eastAsia="Times New Roman" w:hAnsi="Calibri" w:cs="Times New Roman"/>
          <w:bCs/>
          <w:i/>
          <w:color w:val="000000"/>
          <w:lang w:eastAsia="en-GB"/>
        </w:rPr>
        <w:tab/>
      </w:r>
      <w:r>
        <w:rPr>
          <w:rFonts w:ascii="Calibri" w:eastAsia="Times New Roman" w:hAnsi="Calibri" w:cs="Times New Roman"/>
          <w:bCs/>
          <w:i/>
          <w:color w:val="000000"/>
          <w:lang w:eastAsia="en-GB"/>
        </w:rPr>
        <w:tab/>
      </w:r>
      <w:r>
        <w:rPr>
          <w:rFonts w:ascii="Calibri" w:eastAsia="Times New Roman" w:hAnsi="Calibri" w:cs="Times New Roman"/>
          <w:bCs/>
          <w:i/>
          <w:color w:val="000000"/>
          <w:lang w:eastAsia="en-GB"/>
        </w:rPr>
        <w:tab/>
      </w:r>
      <w:r w:rsidR="00B73F60">
        <w:rPr>
          <w:rFonts w:ascii="Calibri" w:eastAsia="Times New Roman" w:hAnsi="Calibri" w:cs="Times New Roman"/>
          <w:bCs/>
          <w:i/>
          <w:color w:val="000000"/>
          <w:lang w:eastAsia="en-GB"/>
        </w:rPr>
        <w:tab/>
      </w:r>
      <w:r w:rsidR="000C2197">
        <w:rPr>
          <w:rFonts w:ascii="Calibri" w:eastAsia="Times New Roman" w:hAnsi="Calibri" w:cs="Times New Roman"/>
          <w:bCs/>
          <w:i/>
          <w:color w:val="000000"/>
          <w:lang w:eastAsia="en-GB"/>
        </w:rPr>
        <w:tab/>
        <w:t xml:space="preserve">        </w:t>
      </w:r>
      <w:r>
        <w:rPr>
          <w:rFonts w:ascii="Calibri" w:eastAsia="Times New Roman" w:hAnsi="Calibri" w:cs="Times New Roman"/>
          <w:bCs/>
          <w:i/>
          <w:color w:val="000000"/>
          <w:lang w:eastAsia="en-GB"/>
        </w:rPr>
        <w:t>(Re</w:t>
      </w:r>
      <w:r w:rsidR="00B73F60">
        <w:rPr>
          <w:rFonts w:ascii="Calibri" w:eastAsia="Times New Roman" w:hAnsi="Calibri" w:cs="Times New Roman"/>
          <w:bCs/>
          <w:i/>
          <w:color w:val="000000"/>
          <w:lang w:eastAsia="en-GB"/>
        </w:rPr>
        <w:t>spondent 621, Independent</w:t>
      </w:r>
      <w:r>
        <w:rPr>
          <w:rFonts w:ascii="Calibri" w:eastAsia="Times New Roman" w:hAnsi="Calibri" w:cs="Times New Roman"/>
          <w:bCs/>
          <w:i/>
          <w:color w:val="000000"/>
          <w:lang w:eastAsia="en-GB"/>
        </w:rPr>
        <w:t>)</w:t>
      </w:r>
    </w:p>
    <w:p w:rsidR="00B77D79" w:rsidRDefault="00B77D79" w:rsidP="000C2197">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O</w:t>
      </w:r>
      <w:r w:rsidRPr="00B77D79">
        <w:rPr>
          <w:rFonts w:ascii="Calibri" w:eastAsia="Times New Roman" w:hAnsi="Calibri" w:cs="Times New Roman"/>
          <w:bCs/>
          <w:color w:val="000000"/>
          <w:lang w:eastAsia="en-GB"/>
        </w:rPr>
        <w:t>thers</w:t>
      </w:r>
      <w:r>
        <w:rPr>
          <w:rFonts w:ascii="Calibri" w:eastAsia="Times New Roman" w:hAnsi="Calibri" w:cs="Times New Roman"/>
          <w:bCs/>
          <w:color w:val="000000"/>
          <w:lang w:eastAsia="en-GB"/>
        </w:rPr>
        <w:t>, however,</w:t>
      </w:r>
      <w:r w:rsidRPr="00B77D79">
        <w:rPr>
          <w:rFonts w:ascii="Calibri" w:eastAsia="Times New Roman" w:hAnsi="Calibri" w:cs="Times New Roman"/>
          <w:bCs/>
          <w:color w:val="000000"/>
          <w:lang w:eastAsia="en-GB"/>
        </w:rPr>
        <w:t xml:space="preserve"> expressed considerable anxiety that because history was seen as – or indeed known to be – more difficult that other GCSE subjects, students would be steered away from it.</w:t>
      </w:r>
    </w:p>
    <w:p w:rsidR="005200C8" w:rsidRDefault="005200C8" w:rsidP="000C2197">
      <w:pPr>
        <w:spacing w:after="0"/>
        <w:ind w:left="720" w:right="720"/>
        <w:jc w:val="both"/>
        <w:rPr>
          <w:rFonts w:ascii="Calibri" w:eastAsia="Times New Roman" w:hAnsi="Calibri" w:cs="Times New Roman"/>
          <w:i/>
          <w:color w:val="000000"/>
          <w:lang w:eastAsia="en-GB"/>
        </w:rPr>
      </w:pPr>
      <w:r w:rsidRPr="00144B30">
        <w:rPr>
          <w:rFonts w:ascii="Calibri" w:eastAsia="Times New Roman" w:hAnsi="Calibri" w:cs="Times New Roman"/>
          <w:i/>
          <w:color w:val="000000"/>
          <w:lang w:eastAsia="en-GB"/>
        </w:rPr>
        <w:t xml:space="preserve">History is already seen as too </w:t>
      </w:r>
      <w:r>
        <w:rPr>
          <w:rFonts w:ascii="Calibri" w:eastAsia="Times New Roman" w:hAnsi="Calibri" w:cs="Times New Roman"/>
          <w:i/>
          <w:color w:val="000000"/>
          <w:lang w:eastAsia="en-GB"/>
        </w:rPr>
        <w:t>difficult by SLT. They want fewer</w:t>
      </w:r>
      <w:r w:rsidRPr="00144B30">
        <w:rPr>
          <w:rFonts w:ascii="Calibri" w:eastAsia="Times New Roman" w:hAnsi="Calibri" w:cs="Times New Roman"/>
          <w:i/>
          <w:color w:val="000000"/>
          <w:lang w:eastAsia="en-GB"/>
        </w:rPr>
        <w:t xml:space="preserve"> students to take it</w:t>
      </w:r>
      <w:r>
        <w:rPr>
          <w:rFonts w:ascii="Calibri" w:eastAsia="Times New Roman" w:hAnsi="Calibri" w:cs="Times New Roman"/>
          <w:i/>
          <w:color w:val="000000"/>
          <w:lang w:eastAsia="en-GB"/>
        </w:rPr>
        <w:t xml:space="preserve">. </w:t>
      </w:r>
    </w:p>
    <w:p w:rsidR="005200C8" w:rsidRDefault="005200C8" w:rsidP="000C2197">
      <w:pPr>
        <w:spacing w:after="0"/>
        <w:ind w:left="720" w:right="720"/>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B73F60">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ab/>
        <w:t xml:space="preserve">    </w:t>
      </w:r>
      <w:r>
        <w:rPr>
          <w:rFonts w:ascii="Calibri" w:eastAsia="Times New Roman" w:hAnsi="Calibri" w:cs="Times New Roman"/>
          <w:i/>
          <w:color w:val="000000"/>
          <w:lang w:eastAsia="en-GB"/>
        </w:rPr>
        <w:t>(Respondent 273</w:t>
      </w:r>
      <w:r w:rsidR="00B73F60">
        <w:rPr>
          <w:rFonts w:ascii="Calibri" w:eastAsia="Times New Roman" w:hAnsi="Calibri" w:cs="Times New Roman"/>
          <w:i/>
          <w:color w:val="000000"/>
          <w:lang w:eastAsia="en-GB"/>
        </w:rPr>
        <w:t>, Comprehensive</w:t>
      </w:r>
      <w:r>
        <w:rPr>
          <w:rFonts w:ascii="Calibri" w:eastAsia="Times New Roman" w:hAnsi="Calibri" w:cs="Times New Roman"/>
          <w:i/>
          <w:color w:val="000000"/>
          <w:lang w:eastAsia="en-GB"/>
        </w:rPr>
        <w:t>)</w:t>
      </w:r>
    </w:p>
    <w:p w:rsidR="005200C8" w:rsidRDefault="005200C8" w:rsidP="000C2197">
      <w:pPr>
        <w:spacing w:after="0"/>
        <w:ind w:left="720" w:right="720"/>
        <w:jc w:val="both"/>
        <w:rPr>
          <w:rFonts w:ascii="Calibri" w:eastAsia="Times New Roman" w:hAnsi="Calibri" w:cs="Times New Roman"/>
          <w:i/>
          <w:color w:val="000000"/>
          <w:lang w:eastAsia="en-GB"/>
        </w:rPr>
      </w:pPr>
    </w:p>
    <w:p w:rsidR="00144B30" w:rsidRDefault="00144B30" w:rsidP="000C2197">
      <w:pPr>
        <w:spacing w:after="0"/>
        <w:ind w:left="720" w:right="720"/>
        <w:jc w:val="both"/>
        <w:rPr>
          <w:rFonts w:ascii="Calibri" w:eastAsia="Times New Roman" w:hAnsi="Calibri" w:cs="Times New Roman"/>
          <w:i/>
          <w:color w:val="000000"/>
          <w:lang w:eastAsia="en-GB"/>
        </w:rPr>
      </w:pPr>
      <w:r w:rsidRPr="00144B30">
        <w:rPr>
          <w:rFonts w:ascii="Calibri" w:eastAsia="Times New Roman" w:hAnsi="Calibri" w:cs="Times New Roman"/>
          <w:i/>
          <w:color w:val="000000"/>
          <w:lang w:eastAsia="en-GB"/>
        </w:rPr>
        <w:lastRenderedPageBreak/>
        <w:t>The college has concerns over the high literacy demands of history and the fact nationally it is 2.2 grades harder than other GCSE</w:t>
      </w:r>
      <w:r w:rsidR="004438CA">
        <w:rPr>
          <w:rFonts w:ascii="Calibri" w:eastAsia="Times New Roman" w:hAnsi="Calibri" w:cs="Times New Roman"/>
          <w:i/>
          <w:color w:val="000000"/>
          <w:lang w:eastAsia="en-GB"/>
        </w:rPr>
        <w:t>s</w:t>
      </w:r>
      <w:r w:rsidRPr="00144B30">
        <w:rPr>
          <w:rFonts w:ascii="Calibri" w:eastAsia="Times New Roman" w:hAnsi="Calibri" w:cs="Times New Roman"/>
          <w:i/>
          <w:color w:val="000000"/>
          <w:lang w:eastAsia="en-GB"/>
        </w:rPr>
        <w:t>.</w:t>
      </w:r>
      <w:r w:rsidR="004438CA">
        <w:rPr>
          <w:rStyle w:val="FootnoteReference"/>
          <w:rFonts w:ascii="Calibri" w:eastAsia="Times New Roman" w:hAnsi="Calibri" w:cs="Times New Roman"/>
          <w:i/>
          <w:color w:val="000000"/>
          <w:lang w:eastAsia="en-GB"/>
        </w:rPr>
        <w:footnoteReference w:id="4"/>
      </w:r>
      <w:r w:rsidRPr="00144B30">
        <w:rPr>
          <w:rFonts w:ascii="Calibri" w:eastAsia="Times New Roman" w:hAnsi="Calibri" w:cs="Times New Roman"/>
          <w:i/>
          <w:color w:val="000000"/>
          <w:lang w:eastAsia="en-GB"/>
        </w:rPr>
        <w:t xml:space="preserve"> Therefore this measure might be used to restrict access to history of students who might struggle to achieve the higher grades</w:t>
      </w:r>
      <w:r>
        <w:rPr>
          <w:rFonts w:ascii="Calibri" w:eastAsia="Times New Roman" w:hAnsi="Calibri" w:cs="Times New Roman"/>
          <w:i/>
          <w:color w:val="000000"/>
          <w:lang w:eastAsia="en-GB"/>
        </w:rPr>
        <w:t>.</w:t>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B73F60">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203FC1">
        <w:rPr>
          <w:rFonts w:ascii="Calibri" w:eastAsia="Times New Roman" w:hAnsi="Calibri" w:cs="Times New Roman"/>
          <w:i/>
          <w:color w:val="000000"/>
          <w:lang w:eastAsia="en-GB"/>
        </w:rPr>
        <w:tab/>
      </w:r>
      <w:r w:rsidR="00203FC1">
        <w:rPr>
          <w:rFonts w:ascii="Calibri" w:eastAsia="Times New Roman" w:hAnsi="Calibri" w:cs="Times New Roman"/>
          <w:i/>
          <w:color w:val="000000"/>
          <w:lang w:eastAsia="en-GB"/>
        </w:rPr>
        <w:tab/>
      </w:r>
      <w:r w:rsidR="00203FC1">
        <w:rPr>
          <w:rFonts w:ascii="Calibri" w:eastAsia="Times New Roman" w:hAnsi="Calibri" w:cs="Times New Roman"/>
          <w:i/>
          <w:color w:val="000000"/>
          <w:lang w:eastAsia="en-GB"/>
        </w:rPr>
        <w:tab/>
      </w:r>
      <w:r w:rsidR="00203FC1">
        <w:rPr>
          <w:rFonts w:ascii="Calibri" w:eastAsia="Times New Roman" w:hAnsi="Calibri" w:cs="Times New Roman"/>
          <w:i/>
          <w:color w:val="000000"/>
          <w:lang w:eastAsia="en-GB"/>
        </w:rPr>
        <w:tab/>
      </w:r>
      <w:r w:rsidR="000C2197">
        <w:rPr>
          <w:rFonts w:ascii="Calibri" w:eastAsia="Times New Roman" w:hAnsi="Calibri" w:cs="Times New Roman"/>
          <w:i/>
          <w:color w:val="000000"/>
          <w:lang w:eastAsia="en-GB"/>
        </w:rPr>
        <w:t xml:space="preserve">    </w:t>
      </w:r>
      <w:r w:rsidR="00D204E1">
        <w:rPr>
          <w:rFonts w:ascii="Calibri" w:eastAsia="Times New Roman" w:hAnsi="Calibri" w:cs="Times New Roman"/>
          <w:i/>
          <w:color w:val="000000"/>
          <w:lang w:eastAsia="en-GB"/>
        </w:rPr>
        <w:t>(Respo</w:t>
      </w:r>
      <w:r w:rsidR="00B73F60">
        <w:rPr>
          <w:rFonts w:ascii="Calibri" w:eastAsia="Times New Roman" w:hAnsi="Calibri" w:cs="Times New Roman"/>
          <w:i/>
          <w:color w:val="000000"/>
          <w:lang w:eastAsia="en-GB"/>
        </w:rPr>
        <w:t>ndent 294, Comprehensive)</w:t>
      </w:r>
    </w:p>
    <w:p w:rsidR="00144B30" w:rsidRDefault="00144B30" w:rsidP="000C2197">
      <w:pPr>
        <w:spacing w:after="0"/>
        <w:ind w:left="720" w:right="720"/>
        <w:jc w:val="both"/>
        <w:rPr>
          <w:rFonts w:ascii="Calibri" w:eastAsia="Times New Roman" w:hAnsi="Calibri" w:cs="Times New Roman"/>
          <w:i/>
          <w:color w:val="000000"/>
          <w:lang w:eastAsia="en-GB"/>
        </w:rPr>
      </w:pPr>
    </w:p>
    <w:p w:rsidR="000C2197" w:rsidRDefault="00144B30" w:rsidP="000C2197">
      <w:pPr>
        <w:spacing w:after="0"/>
        <w:ind w:left="720" w:right="720"/>
        <w:jc w:val="both"/>
        <w:rPr>
          <w:rFonts w:ascii="Calibri" w:eastAsia="Times New Roman" w:hAnsi="Calibri" w:cs="Times New Roman"/>
          <w:i/>
          <w:color w:val="000000"/>
          <w:lang w:eastAsia="en-GB"/>
        </w:rPr>
      </w:pPr>
      <w:r w:rsidRPr="00144B30">
        <w:rPr>
          <w:rFonts w:ascii="Calibri" w:eastAsia="Times New Roman" w:hAnsi="Calibri" w:cs="Times New Roman"/>
          <w:i/>
          <w:color w:val="000000"/>
          <w:lang w:eastAsia="en-GB"/>
        </w:rPr>
        <w:t>I imagine that History</w:t>
      </w:r>
      <w:r w:rsidR="00787739">
        <w:rPr>
          <w:rFonts w:ascii="Calibri" w:eastAsia="Times New Roman" w:hAnsi="Calibri" w:cs="Times New Roman"/>
          <w:i/>
          <w:color w:val="000000"/>
          <w:lang w:eastAsia="en-GB"/>
        </w:rPr>
        <w:t>,</w:t>
      </w:r>
      <w:r w:rsidRPr="00144B30">
        <w:rPr>
          <w:rFonts w:ascii="Calibri" w:eastAsia="Times New Roman" w:hAnsi="Calibri" w:cs="Times New Roman"/>
          <w:i/>
          <w:color w:val="000000"/>
          <w:lang w:eastAsia="en-GB"/>
        </w:rPr>
        <w:t xml:space="preserve"> which is viewed as a 'hard' subject, will lose popularity as students strive to keep their average grade high.</w:t>
      </w:r>
    </w:p>
    <w:p w:rsidR="00144B30" w:rsidRDefault="000C2197" w:rsidP="000C2197">
      <w:pPr>
        <w:spacing w:after="0"/>
        <w:ind w:left="720" w:right="720"/>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sidR="00B73F60">
        <w:rPr>
          <w:rFonts w:ascii="Calibri" w:eastAsia="Times New Roman" w:hAnsi="Calibri" w:cs="Times New Roman"/>
          <w:i/>
          <w:color w:val="000000"/>
          <w:lang w:eastAsia="en-GB"/>
        </w:rPr>
        <w:tab/>
      </w:r>
      <w:r w:rsidR="00D204E1">
        <w:rPr>
          <w:rFonts w:ascii="Calibri" w:eastAsia="Times New Roman" w:hAnsi="Calibri" w:cs="Times New Roman"/>
          <w:i/>
          <w:color w:val="000000"/>
          <w:lang w:eastAsia="en-GB"/>
        </w:rPr>
        <w:tab/>
      </w:r>
      <w:r>
        <w:rPr>
          <w:rFonts w:ascii="Calibri" w:eastAsia="Times New Roman" w:hAnsi="Calibri" w:cs="Times New Roman"/>
          <w:i/>
          <w:color w:val="000000"/>
          <w:lang w:eastAsia="en-GB"/>
        </w:rPr>
        <w:t xml:space="preserve">    </w:t>
      </w:r>
      <w:r w:rsidR="00D204E1">
        <w:rPr>
          <w:rFonts w:ascii="Calibri" w:eastAsia="Times New Roman" w:hAnsi="Calibri" w:cs="Times New Roman"/>
          <w:i/>
          <w:color w:val="000000"/>
          <w:lang w:eastAsia="en-GB"/>
        </w:rPr>
        <w:t xml:space="preserve">(Respondent </w:t>
      </w:r>
      <w:r>
        <w:rPr>
          <w:rFonts w:ascii="Calibri" w:eastAsia="Times New Roman" w:hAnsi="Calibri" w:cs="Times New Roman"/>
          <w:i/>
          <w:color w:val="000000"/>
          <w:lang w:eastAsia="en-GB"/>
        </w:rPr>
        <w:t>377, Comprehensive</w:t>
      </w:r>
      <w:r w:rsidR="00B73F60">
        <w:rPr>
          <w:rFonts w:ascii="Calibri" w:eastAsia="Times New Roman" w:hAnsi="Calibri" w:cs="Times New Roman"/>
          <w:i/>
          <w:color w:val="000000"/>
          <w:lang w:eastAsia="en-GB"/>
        </w:rPr>
        <w:t>)</w:t>
      </w:r>
    </w:p>
    <w:p w:rsidR="00B77D79" w:rsidRPr="00144B30" w:rsidRDefault="00B77D79" w:rsidP="000C2197">
      <w:pPr>
        <w:spacing w:after="0"/>
        <w:ind w:left="720" w:right="720"/>
        <w:jc w:val="both"/>
        <w:rPr>
          <w:rFonts w:ascii="Calibri" w:eastAsia="Times New Roman" w:hAnsi="Calibri" w:cs="Times New Roman"/>
          <w:i/>
          <w:color w:val="000000"/>
          <w:lang w:eastAsia="en-GB"/>
        </w:rPr>
      </w:pPr>
    </w:p>
    <w:p w:rsidR="00144B30" w:rsidRDefault="00903F31" w:rsidP="000C2197">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 </w:t>
      </w:r>
      <w:proofErr w:type="gramStart"/>
      <w:r>
        <w:rPr>
          <w:rFonts w:ascii="Calibri" w:eastAsia="Times New Roman" w:hAnsi="Calibri" w:cs="Times New Roman"/>
          <w:bCs/>
          <w:color w:val="000000"/>
          <w:lang w:eastAsia="en-GB"/>
        </w:rPr>
        <w:t xml:space="preserve">few </w:t>
      </w:r>
      <w:r w:rsidR="00B77D79">
        <w:rPr>
          <w:rFonts w:ascii="Calibri" w:eastAsia="Times New Roman" w:hAnsi="Calibri" w:cs="Times New Roman"/>
          <w:bCs/>
          <w:color w:val="000000"/>
          <w:lang w:eastAsia="en-GB"/>
        </w:rPr>
        <w:t xml:space="preserve"> teachers</w:t>
      </w:r>
      <w:proofErr w:type="gramEnd"/>
      <w:r w:rsidR="00B77D79">
        <w:rPr>
          <w:rFonts w:ascii="Calibri" w:eastAsia="Times New Roman" w:hAnsi="Calibri" w:cs="Times New Roman"/>
          <w:bCs/>
          <w:color w:val="000000"/>
          <w:lang w:eastAsia="en-GB"/>
        </w:rPr>
        <w:t xml:space="preserve"> expressed very passionate concerns about the inappropriateness of basing value-added judgements on Key Stage 2 </w:t>
      </w:r>
      <w:r w:rsidR="00B73F60">
        <w:rPr>
          <w:rFonts w:ascii="Calibri" w:eastAsia="Times New Roman" w:hAnsi="Calibri" w:cs="Times New Roman"/>
          <w:bCs/>
          <w:color w:val="000000"/>
          <w:lang w:eastAsia="en-GB"/>
        </w:rPr>
        <w:t xml:space="preserve">levels of attainment. </w:t>
      </w:r>
      <w:r w:rsidR="00D204E1">
        <w:rPr>
          <w:rFonts w:ascii="Calibri" w:eastAsia="Times New Roman" w:hAnsi="Calibri" w:cs="Times New Roman"/>
          <w:bCs/>
          <w:color w:val="000000"/>
          <w:lang w:eastAsia="en-GB"/>
        </w:rPr>
        <w:t xml:space="preserve"> This was in part because of a view that so much attention was focused on </w:t>
      </w:r>
      <w:r w:rsidR="00B73F60">
        <w:rPr>
          <w:rFonts w:ascii="Calibri" w:eastAsia="Times New Roman" w:hAnsi="Calibri" w:cs="Times New Roman"/>
          <w:bCs/>
          <w:color w:val="000000"/>
          <w:lang w:eastAsia="en-GB"/>
        </w:rPr>
        <w:t>the subjects in the later stages of Key Stage 2 in the subjects in which students took SATs</w:t>
      </w:r>
      <w:r w:rsidR="00D204E1">
        <w:rPr>
          <w:rFonts w:ascii="Calibri" w:eastAsia="Times New Roman" w:hAnsi="Calibri" w:cs="Times New Roman"/>
          <w:bCs/>
          <w:color w:val="000000"/>
          <w:lang w:eastAsia="en-GB"/>
        </w:rPr>
        <w:t xml:space="preserve"> that students arrived in secondary schools having received very little history teaching and therefore at a much lower level of attainment in history than </w:t>
      </w:r>
      <w:r w:rsidR="00B73F60">
        <w:rPr>
          <w:rFonts w:ascii="Calibri" w:eastAsia="Times New Roman" w:hAnsi="Calibri" w:cs="Times New Roman"/>
          <w:bCs/>
          <w:color w:val="000000"/>
          <w:lang w:eastAsia="en-GB"/>
        </w:rPr>
        <w:t>had reached in English.</w:t>
      </w:r>
    </w:p>
    <w:p w:rsidR="00F16BFE" w:rsidRPr="00CF185C" w:rsidRDefault="00E46D78" w:rsidP="00745748">
      <w:pPr>
        <w:jc w:val="both"/>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 xml:space="preserve">5. </w:t>
      </w:r>
      <w:r w:rsidR="00F16BFE" w:rsidRPr="00CF185C">
        <w:rPr>
          <w:rFonts w:ascii="Calibri" w:eastAsia="Times New Roman" w:hAnsi="Calibri" w:cs="Times New Roman"/>
          <w:b/>
          <w:bCs/>
          <w:color w:val="000000"/>
          <w:sz w:val="32"/>
          <w:szCs w:val="32"/>
          <w:lang w:eastAsia="en-GB"/>
        </w:rPr>
        <w:t xml:space="preserve">A level </w:t>
      </w:r>
    </w:p>
    <w:p w:rsidR="004E4546" w:rsidRPr="00A63048" w:rsidRDefault="00E46D78" w:rsidP="00745748">
      <w:pPr>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5.1 </w:t>
      </w:r>
      <w:r w:rsidR="00CF185C" w:rsidRPr="00A63048">
        <w:rPr>
          <w:rFonts w:ascii="Calibri" w:eastAsia="Times New Roman" w:hAnsi="Calibri" w:cs="Times New Roman"/>
          <w:b/>
          <w:bCs/>
          <w:color w:val="000000"/>
          <w:sz w:val="24"/>
          <w:szCs w:val="24"/>
          <w:lang w:eastAsia="en-GB"/>
        </w:rPr>
        <w:t xml:space="preserve">The proportion of students within Year 12 and 13 taking </w:t>
      </w:r>
      <w:proofErr w:type="gramStart"/>
      <w:r w:rsidR="00CF185C" w:rsidRPr="00A63048">
        <w:rPr>
          <w:rFonts w:ascii="Calibri" w:eastAsia="Times New Roman" w:hAnsi="Calibri" w:cs="Times New Roman"/>
          <w:b/>
          <w:bCs/>
          <w:color w:val="000000"/>
          <w:sz w:val="24"/>
          <w:szCs w:val="24"/>
          <w:lang w:eastAsia="en-GB"/>
        </w:rPr>
        <w:t>A</w:t>
      </w:r>
      <w:proofErr w:type="gramEnd"/>
      <w:r w:rsidR="00CF185C" w:rsidRPr="00A63048">
        <w:rPr>
          <w:rFonts w:ascii="Calibri" w:eastAsia="Times New Roman" w:hAnsi="Calibri" w:cs="Times New Roman"/>
          <w:b/>
          <w:bCs/>
          <w:color w:val="000000"/>
          <w:sz w:val="24"/>
          <w:szCs w:val="24"/>
          <w:lang w:eastAsia="en-GB"/>
        </w:rPr>
        <w:t xml:space="preserve"> level history</w:t>
      </w:r>
    </w:p>
    <w:p w:rsidR="00C67E21" w:rsidRDefault="00C67E21"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Approximately 280 different schools that taught </w:t>
      </w:r>
      <w:proofErr w:type="gramStart"/>
      <w:r>
        <w:rPr>
          <w:rFonts w:ascii="Calibri" w:eastAsia="Times New Roman" w:hAnsi="Calibri" w:cs="Times New Roman"/>
          <w:bCs/>
          <w:color w:val="000000"/>
          <w:lang w:eastAsia="en-GB"/>
        </w:rPr>
        <w:t>A</w:t>
      </w:r>
      <w:proofErr w:type="gramEnd"/>
      <w:r>
        <w:rPr>
          <w:rFonts w:ascii="Calibri" w:eastAsia="Times New Roman" w:hAnsi="Calibri" w:cs="Times New Roman"/>
          <w:bCs/>
          <w:color w:val="000000"/>
          <w:lang w:eastAsia="en-GB"/>
        </w:rPr>
        <w:t xml:space="preserve"> level responded to questions about the uptake of the subject. </w:t>
      </w:r>
      <w:r w:rsidR="00787739">
        <w:rPr>
          <w:rFonts w:ascii="Calibri" w:eastAsia="Times New Roman" w:hAnsi="Calibri" w:cs="Times New Roman"/>
          <w:bCs/>
          <w:color w:val="000000"/>
          <w:lang w:eastAsia="en-GB"/>
        </w:rPr>
        <w:t>As Figure 1</w:t>
      </w:r>
      <w:r w:rsidR="00563966">
        <w:rPr>
          <w:rFonts w:ascii="Calibri" w:eastAsia="Times New Roman" w:hAnsi="Calibri" w:cs="Times New Roman"/>
          <w:bCs/>
          <w:color w:val="000000"/>
          <w:lang w:eastAsia="en-GB"/>
        </w:rPr>
        <w:t>1</w:t>
      </w:r>
      <w:r w:rsidR="00787739">
        <w:rPr>
          <w:rFonts w:ascii="Calibri" w:eastAsia="Times New Roman" w:hAnsi="Calibri" w:cs="Times New Roman"/>
          <w:bCs/>
          <w:color w:val="000000"/>
          <w:lang w:eastAsia="en-GB"/>
        </w:rPr>
        <w:t xml:space="preserve"> shows, there </w:t>
      </w:r>
      <w:r>
        <w:rPr>
          <w:rFonts w:ascii="Calibri" w:eastAsia="Times New Roman" w:hAnsi="Calibri" w:cs="Times New Roman"/>
          <w:bCs/>
          <w:color w:val="000000"/>
          <w:lang w:eastAsia="en-GB"/>
        </w:rPr>
        <w:t xml:space="preserve">was little overall difference in the proportion of students taking AS and A2 history, with the most common cohorts accounting for between 11 and 20% of the year group.   </w:t>
      </w:r>
      <w:r w:rsidR="00787739">
        <w:rPr>
          <w:rFonts w:ascii="Calibri" w:eastAsia="Times New Roman" w:hAnsi="Calibri" w:cs="Times New Roman"/>
          <w:bCs/>
          <w:color w:val="000000"/>
          <w:lang w:eastAsia="en-GB"/>
        </w:rPr>
        <w:t>Figure</w:t>
      </w:r>
      <w:r w:rsidR="003F78CE">
        <w:rPr>
          <w:rFonts w:ascii="Calibri" w:eastAsia="Times New Roman" w:hAnsi="Calibri" w:cs="Times New Roman"/>
          <w:bCs/>
          <w:color w:val="000000"/>
          <w:lang w:eastAsia="en-GB"/>
        </w:rPr>
        <w:t>s</w:t>
      </w:r>
      <w:r w:rsidR="00787739">
        <w:rPr>
          <w:rFonts w:ascii="Calibri" w:eastAsia="Times New Roman" w:hAnsi="Calibri" w:cs="Times New Roman"/>
          <w:bCs/>
          <w:color w:val="000000"/>
          <w:lang w:eastAsia="en-GB"/>
        </w:rPr>
        <w:t xml:space="preserve"> 1</w:t>
      </w:r>
      <w:r w:rsidR="00563966">
        <w:rPr>
          <w:rFonts w:ascii="Calibri" w:eastAsia="Times New Roman" w:hAnsi="Calibri" w:cs="Times New Roman"/>
          <w:bCs/>
          <w:color w:val="000000"/>
          <w:lang w:eastAsia="en-GB"/>
        </w:rPr>
        <w:t>2</w:t>
      </w:r>
      <w:r w:rsidR="003F78CE">
        <w:rPr>
          <w:rFonts w:ascii="Calibri" w:eastAsia="Times New Roman" w:hAnsi="Calibri" w:cs="Times New Roman"/>
          <w:bCs/>
          <w:color w:val="000000"/>
          <w:lang w:eastAsia="en-GB"/>
        </w:rPr>
        <w:t xml:space="preserve"> and 1</w:t>
      </w:r>
      <w:r w:rsidR="00563966">
        <w:rPr>
          <w:rFonts w:ascii="Calibri" w:eastAsia="Times New Roman" w:hAnsi="Calibri" w:cs="Times New Roman"/>
          <w:bCs/>
          <w:color w:val="000000"/>
          <w:lang w:eastAsia="en-GB"/>
        </w:rPr>
        <w:t>3</w:t>
      </w:r>
      <w:r w:rsidR="003F78CE">
        <w:rPr>
          <w:rFonts w:ascii="Calibri" w:eastAsia="Times New Roman" w:hAnsi="Calibri" w:cs="Times New Roman"/>
          <w:bCs/>
          <w:color w:val="000000"/>
          <w:lang w:eastAsia="en-GB"/>
        </w:rPr>
        <w:t>, which show</w:t>
      </w:r>
      <w:r w:rsidR="00787739">
        <w:rPr>
          <w:rFonts w:ascii="Calibri" w:eastAsia="Times New Roman" w:hAnsi="Calibri" w:cs="Times New Roman"/>
          <w:bCs/>
          <w:color w:val="000000"/>
          <w:lang w:eastAsia="en-GB"/>
        </w:rPr>
        <w:t xml:space="preserve"> the u</w:t>
      </w:r>
      <w:r w:rsidR="003F78CE">
        <w:rPr>
          <w:rFonts w:ascii="Calibri" w:eastAsia="Times New Roman" w:hAnsi="Calibri" w:cs="Times New Roman"/>
          <w:bCs/>
          <w:color w:val="000000"/>
          <w:lang w:eastAsia="en-GB"/>
        </w:rPr>
        <w:t>ptake by type of school, reveal</w:t>
      </w:r>
      <w:r w:rsidR="00787739">
        <w:rPr>
          <w:rFonts w:ascii="Calibri" w:eastAsia="Times New Roman" w:hAnsi="Calibri" w:cs="Times New Roman"/>
          <w:bCs/>
          <w:color w:val="000000"/>
          <w:lang w:eastAsia="en-GB"/>
        </w:rPr>
        <w:t xml:space="preserve"> that it was the few grammar school</w:t>
      </w:r>
      <w:r>
        <w:rPr>
          <w:rFonts w:ascii="Calibri" w:eastAsia="Times New Roman" w:hAnsi="Calibri" w:cs="Times New Roman"/>
          <w:bCs/>
          <w:color w:val="000000"/>
          <w:lang w:eastAsia="en-GB"/>
        </w:rPr>
        <w:t xml:space="preserve"> and the independent school respondents </w:t>
      </w:r>
      <w:r w:rsidR="00787739">
        <w:rPr>
          <w:rFonts w:ascii="Calibri" w:eastAsia="Times New Roman" w:hAnsi="Calibri" w:cs="Times New Roman"/>
          <w:bCs/>
          <w:color w:val="000000"/>
          <w:lang w:eastAsia="en-GB"/>
        </w:rPr>
        <w:t xml:space="preserve">who </w:t>
      </w:r>
      <w:r>
        <w:rPr>
          <w:rFonts w:ascii="Calibri" w:eastAsia="Times New Roman" w:hAnsi="Calibri" w:cs="Times New Roman"/>
          <w:bCs/>
          <w:color w:val="000000"/>
          <w:lang w:eastAsia="en-GB"/>
        </w:rPr>
        <w:t xml:space="preserve">tended to report more cohorts that were larger (21-30% and 31-40%), while the old style academies were less likely to see higher proportions of students opting for the subject. </w:t>
      </w:r>
    </w:p>
    <w:p w:rsidR="00787739" w:rsidRPr="00787739" w:rsidRDefault="00787739" w:rsidP="00745748">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w:t>
      </w:r>
      <w:r w:rsidR="00785EBF">
        <w:rPr>
          <w:rFonts w:ascii="Calibri" w:eastAsia="Times New Roman" w:hAnsi="Calibri" w:cs="Times New Roman"/>
          <w:bCs/>
          <w:i/>
          <w:color w:val="000000"/>
          <w:lang w:eastAsia="en-GB"/>
        </w:rPr>
        <w:t>1</w:t>
      </w:r>
      <w:r>
        <w:rPr>
          <w:rFonts w:ascii="Calibri" w:eastAsia="Times New Roman" w:hAnsi="Calibri" w:cs="Times New Roman"/>
          <w:bCs/>
          <w:i/>
          <w:color w:val="000000"/>
          <w:lang w:eastAsia="en-GB"/>
        </w:rPr>
        <w:t>: 2013 The proportion of each year group in all schools studying AS or A2 history</w:t>
      </w:r>
    </w:p>
    <w:p w:rsidR="00787739" w:rsidRDefault="00787739" w:rsidP="00745748">
      <w:pPr>
        <w:rPr>
          <w:rFonts w:ascii="Calibri" w:eastAsia="Times New Roman" w:hAnsi="Calibri" w:cs="Times New Roman"/>
          <w:bCs/>
          <w:color w:val="000000"/>
          <w:lang w:eastAsia="en-GB"/>
        </w:rPr>
      </w:pPr>
      <w:r>
        <w:rPr>
          <w:noProof/>
          <w:lang w:eastAsia="en-GB"/>
        </w:rPr>
        <w:drawing>
          <wp:inline distT="0" distB="0" distL="0" distR="0">
            <wp:extent cx="5590309" cy="2473037"/>
            <wp:effectExtent l="0" t="0" r="1079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7739" w:rsidRPr="00787739" w:rsidRDefault="00E46D78" w:rsidP="00745748">
      <w:pPr>
        <w:spacing w:line="240" w:lineRule="auto"/>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lastRenderedPageBreak/>
        <w:t>F</w:t>
      </w:r>
      <w:r w:rsidR="00787739">
        <w:rPr>
          <w:rFonts w:ascii="Calibri" w:eastAsia="Times New Roman" w:hAnsi="Calibri" w:cs="Times New Roman"/>
          <w:bCs/>
          <w:i/>
          <w:color w:val="000000"/>
          <w:lang w:eastAsia="en-GB"/>
        </w:rPr>
        <w:t>igure 1</w:t>
      </w:r>
      <w:r w:rsidR="00785EBF">
        <w:rPr>
          <w:rFonts w:ascii="Calibri" w:eastAsia="Times New Roman" w:hAnsi="Calibri" w:cs="Times New Roman"/>
          <w:bCs/>
          <w:i/>
          <w:color w:val="000000"/>
          <w:lang w:eastAsia="en-GB"/>
        </w:rPr>
        <w:t>2</w:t>
      </w:r>
      <w:r w:rsidR="00787739">
        <w:rPr>
          <w:rFonts w:ascii="Calibri" w:eastAsia="Times New Roman" w:hAnsi="Calibri" w:cs="Times New Roman"/>
          <w:bCs/>
          <w:i/>
          <w:color w:val="000000"/>
          <w:lang w:eastAsia="en-GB"/>
        </w:rPr>
        <w:t>: 2013: The proportion of the Year 12 cohort in different types of school studying AS level history</w:t>
      </w:r>
    </w:p>
    <w:p w:rsidR="004F7EFC" w:rsidRDefault="004F7EFC" w:rsidP="00745748">
      <w:pPr>
        <w:rPr>
          <w:rFonts w:ascii="Calibri" w:eastAsia="Times New Roman" w:hAnsi="Calibri" w:cs="Times New Roman"/>
          <w:bCs/>
          <w:color w:val="000000"/>
          <w:lang w:eastAsia="en-GB"/>
        </w:rPr>
      </w:pPr>
      <w:r>
        <w:rPr>
          <w:noProof/>
          <w:lang w:eastAsia="en-GB"/>
        </w:rPr>
        <w:drawing>
          <wp:inline distT="0" distB="0" distL="0" distR="0">
            <wp:extent cx="5735782" cy="2576945"/>
            <wp:effectExtent l="0" t="0" r="17780" b="139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78CE" w:rsidRPr="003F78CE" w:rsidRDefault="003F78CE" w:rsidP="00745748">
      <w:pPr>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w:t>
      </w:r>
      <w:r w:rsidR="00785EBF">
        <w:rPr>
          <w:rFonts w:ascii="Calibri" w:eastAsia="Times New Roman" w:hAnsi="Calibri" w:cs="Times New Roman"/>
          <w:bCs/>
          <w:i/>
          <w:color w:val="000000"/>
          <w:lang w:eastAsia="en-GB"/>
        </w:rPr>
        <w:t>3</w:t>
      </w:r>
      <w:r>
        <w:rPr>
          <w:rFonts w:ascii="Calibri" w:eastAsia="Times New Roman" w:hAnsi="Calibri" w:cs="Times New Roman"/>
          <w:bCs/>
          <w:i/>
          <w:color w:val="000000"/>
          <w:lang w:eastAsia="en-GB"/>
        </w:rPr>
        <w:t>: 2013 The proportion of the Year 13 cohort in different types of school studying A2 history</w:t>
      </w:r>
    </w:p>
    <w:p w:rsidR="008430AA" w:rsidRDefault="004F7EFC" w:rsidP="00745748">
      <w:pPr>
        <w:rPr>
          <w:rFonts w:ascii="Calibri" w:eastAsia="Times New Roman" w:hAnsi="Calibri" w:cs="Times New Roman"/>
          <w:b/>
          <w:bCs/>
          <w:color w:val="000000"/>
          <w:sz w:val="28"/>
          <w:szCs w:val="28"/>
          <w:lang w:eastAsia="en-GB"/>
        </w:rPr>
      </w:pPr>
      <w:r>
        <w:rPr>
          <w:noProof/>
          <w:lang w:eastAsia="en-GB"/>
        </w:rPr>
        <w:drawing>
          <wp:inline distT="0" distB="0" distL="0" distR="0">
            <wp:extent cx="5731510" cy="3111916"/>
            <wp:effectExtent l="0" t="0" r="2159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185C" w:rsidRPr="00A63048" w:rsidRDefault="00E46D78" w:rsidP="00745748">
      <w:pPr>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5.2 </w:t>
      </w:r>
      <w:r w:rsidR="00CF185C" w:rsidRPr="00A63048">
        <w:rPr>
          <w:rFonts w:ascii="Calibri" w:eastAsia="Times New Roman" w:hAnsi="Calibri" w:cs="Times New Roman"/>
          <w:b/>
          <w:bCs/>
          <w:color w:val="000000"/>
          <w:sz w:val="24"/>
          <w:szCs w:val="24"/>
          <w:lang w:eastAsia="en-GB"/>
        </w:rPr>
        <w:t xml:space="preserve">Trends in </w:t>
      </w:r>
      <w:r>
        <w:rPr>
          <w:rFonts w:ascii="Calibri" w:eastAsia="Times New Roman" w:hAnsi="Calibri" w:cs="Times New Roman"/>
          <w:b/>
          <w:bCs/>
          <w:color w:val="000000"/>
          <w:sz w:val="24"/>
          <w:szCs w:val="24"/>
          <w:lang w:eastAsia="en-GB"/>
        </w:rPr>
        <w:t xml:space="preserve">the </w:t>
      </w:r>
      <w:r w:rsidR="00CF185C" w:rsidRPr="00A63048">
        <w:rPr>
          <w:rFonts w:ascii="Calibri" w:eastAsia="Times New Roman" w:hAnsi="Calibri" w:cs="Times New Roman"/>
          <w:b/>
          <w:bCs/>
          <w:color w:val="000000"/>
          <w:sz w:val="24"/>
          <w:szCs w:val="24"/>
          <w:lang w:eastAsia="en-GB"/>
        </w:rPr>
        <w:t>uptake of history at AS and A2</w:t>
      </w:r>
    </w:p>
    <w:p w:rsidR="00D90BB5" w:rsidRDefault="00D90BB5"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When invited to comment on any trends within their school or college in terms of numbers of students opting for history, the vast majority of all respondents tended to report either that the proportions were basically unchanged year on year or that there were no clear trends in patterns of uptake from one year to another. </w:t>
      </w:r>
      <w:r w:rsidR="003F78CE">
        <w:rPr>
          <w:rFonts w:ascii="Calibri" w:eastAsia="Times New Roman" w:hAnsi="Calibri" w:cs="Times New Roman"/>
          <w:bCs/>
          <w:color w:val="000000"/>
          <w:lang w:eastAsia="en-GB"/>
        </w:rPr>
        <w:t>As Figure 1</w:t>
      </w:r>
      <w:r w:rsidR="00563966">
        <w:rPr>
          <w:rFonts w:ascii="Calibri" w:eastAsia="Times New Roman" w:hAnsi="Calibri" w:cs="Times New Roman"/>
          <w:bCs/>
          <w:color w:val="000000"/>
          <w:lang w:eastAsia="en-GB"/>
        </w:rPr>
        <w:t>4</w:t>
      </w:r>
      <w:r w:rsidR="003F78CE">
        <w:rPr>
          <w:rFonts w:ascii="Calibri" w:eastAsia="Times New Roman" w:hAnsi="Calibri" w:cs="Times New Roman"/>
          <w:bCs/>
          <w:color w:val="000000"/>
          <w:lang w:eastAsia="en-GB"/>
        </w:rPr>
        <w:t xml:space="preserve"> shows, a</w:t>
      </w:r>
      <w:r>
        <w:rPr>
          <w:rFonts w:ascii="Calibri" w:eastAsia="Times New Roman" w:hAnsi="Calibri" w:cs="Times New Roman"/>
          <w:bCs/>
          <w:color w:val="000000"/>
          <w:lang w:eastAsia="en-GB"/>
        </w:rPr>
        <w:t xml:space="preserve"> small proportion of respondents did, however, report some kind of significant change – and these were much more likely to be positive signs of an increase in the subject’ popularity and perceived value.   Overall, three times as many schools (72) reported an increase in numbers at AS level than reported a decrease (19). </w:t>
      </w:r>
    </w:p>
    <w:p w:rsidR="003F78CE" w:rsidRPr="003F78CE" w:rsidRDefault="003F78CE" w:rsidP="00745748">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w:t>
      </w:r>
      <w:r w:rsidR="00785EBF">
        <w:rPr>
          <w:rFonts w:ascii="Calibri" w:eastAsia="Times New Roman" w:hAnsi="Calibri" w:cs="Times New Roman"/>
          <w:bCs/>
          <w:i/>
          <w:color w:val="000000"/>
          <w:lang w:eastAsia="en-GB"/>
        </w:rPr>
        <w:t>4</w:t>
      </w:r>
      <w:r>
        <w:rPr>
          <w:rFonts w:ascii="Calibri" w:eastAsia="Times New Roman" w:hAnsi="Calibri" w:cs="Times New Roman"/>
          <w:bCs/>
          <w:i/>
          <w:color w:val="000000"/>
          <w:lang w:eastAsia="en-GB"/>
        </w:rPr>
        <w:t>: Trends in uptake of AS history (Year 12) over the past three years</w:t>
      </w:r>
    </w:p>
    <w:p w:rsidR="004F7EFC" w:rsidRPr="00D90BB5" w:rsidRDefault="004F7EFC" w:rsidP="00745748">
      <w:pPr>
        <w:jc w:val="both"/>
        <w:rPr>
          <w:rFonts w:ascii="Calibri" w:eastAsia="Times New Roman" w:hAnsi="Calibri" w:cs="Times New Roman"/>
          <w:bCs/>
          <w:color w:val="000000"/>
          <w:lang w:eastAsia="en-GB"/>
        </w:rPr>
      </w:pPr>
      <w:r>
        <w:rPr>
          <w:noProof/>
          <w:lang w:eastAsia="en-GB"/>
        </w:rPr>
        <w:lastRenderedPageBreak/>
        <w:drawing>
          <wp:inline distT="0" distB="0" distL="0" distR="0">
            <wp:extent cx="4895850" cy="25812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4D21" w:rsidRDefault="00794D21" w:rsidP="00745748">
      <w:pPr>
        <w:jc w:val="both"/>
        <w:rPr>
          <w:rFonts w:ascii="Calibri" w:eastAsia="Times New Roman" w:hAnsi="Calibri" w:cs="Times New Roman"/>
          <w:bCs/>
          <w:color w:val="000000"/>
          <w:lang w:eastAsia="en-GB"/>
        </w:rPr>
      </w:pPr>
      <w:r w:rsidRPr="00C67E21">
        <w:rPr>
          <w:rFonts w:ascii="Calibri" w:eastAsia="Times New Roman" w:hAnsi="Calibri" w:cs="Times New Roman"/>
          <w:bCs/>
          <w:color w:val="000000"/>
          <w:lang w:eastAsia="en-GB"/>
        </w:rPr>
        <w:t xml:space="preserve">A similar pattern is evident for A2 </w:t>
      </w:r>
      <w:r w:rsidR="003F78CE">
        <w:rPr>
          <w:rFonts w:ascii="Calibri" w:eastAsia="Times New Roman" w:hAnsi="Calibri" w:cs="Times New Roman"/>
          <w:bCs/>
          <w:color w:val="000000"/>
          <w:lang w:eastAsia="en-GB"/>
        </w:rPr>
        <w:t>(Figure 1</w:t>
      </w:r>
      <w:r w:rsidR="00563966">
        <w:rPr>
          <w:rFonts w:ascii="Calibri" w:eastAsia="Times New Roman" w:hAnsi="Calibri" w:cs="Times New Roman"/>
          <w:bCs/>
          <w:color w:val="000000"/>
          <w:lang w:eastAsia="en-GB"/>
        </w:rPr>
        <w:t>5</w:t>
      </w:r>
      <w:r w:rsidR="003F78CE">
        <w:rPr>
          <w:rFonts w:ascii="Calibri" w:eastAsia="Times New Roman" w:hAnsi="Calibri" w:cs="Times New Roman"/>
          <w:bCs/>
          <w:color w:val="000000"/>
          <w:lang w:eastAsia="en-GB"/>
        </w:rPr>
        <w:t xml:space="preserve">) </w:t>
      </w:r>
      <w:r w:rsidRPr="00C67E21">
        <w:rPr>
          <w:rFonts w:ascii="Calibri" w:eastAsia="Times New Roman" w:hAnsi="Calibri" w:cs="Times New Roman"/>
          <w:bCs/>
          <w:color w:val="000000"/>
          <w:lang w:eastAsia="en-GB"/>
        </w:rPr>
        <w:t xml:space="preserve">with </w:t>
      </w:r>
      <w:r w:rsidR="00C67E21">
        <w:rPr>
          <w:rFonts w:ascii="Calibri" w:eastAsia="Times New Roman" w:hAnsi="Calibri" w:cs="Times New Roman"/>
          <w:bCs/>
          <w:color w:val="000000"/>
          <w:lang w:eastAsia="en-GB"/>
        </w:rPr>
        <w:t>over twice as man</w:t>
      </w:r>
      <w:r w:rsidRPr="00C67E21">
        <w:rPr>
          <w:rFonts w:ascii="Calibri" w:eastAsia="Times New Roman" w:hAnsi="Calibri" w:cs="Times New Roman"/>
          <w:bCs/>
          <w:color w:val="000000"/>
          <w:lang w:eastAsia="en-GB"/>
        </w:rPr>
        <w:t xml:space="preserve">y examples of expanding A2 level numbers reported from all types of school </w:t>
      </w:r>
      <w:r w:rsidR="00C67E21">
        <w:rPr>
          <w:rFonts w:ascii="Calibri" w:eastAsia="Times New Roman" w:hAnsi="Calibri" w:cs="Times New Roman"/>
          <w:bCs/>
          <w:color w:val="000000"/>
          <w:lang w:eastAsia="en-GB"/>
        </w:rPr>
        <w:t xml:space="preserve">than there are reports of </w:t>
      </w:r>
      <w:r w:rsidRPr="00C67E21">
        <w:rPr>
          <w:rFonts w:ascii="Calibri" w:eastAsia="Times New Roman" w:hAnsi="Calibri" w:cs="Times New Roman"/>
          <w:bCs/>
          <w:color w:val="000000"/>
          <w:lang w:eastAsia="en-GB"/>
        </w:rPr>
        <w:t xml:space="preserve">contraction from the same type of schools. </w:t>
      </w:r>
    </w:p>
    <w:p w:rsidR="003F78CE" w:rsidRPr="003F78CE" w:rsidRDefault="003F78CE" w:rsidP="00745748">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w:t>
      </w:r>
      <w:r w:rsidR="00785EBF">
        <w:rPr>
          <w:rFonts w:ascii="Calibri" w:eastAsia="Times New Roman" w:hAnsi="Calibri" w:cs="Times New Roman"/>
          <w:bCs/>
          <w:i/>
          <w:color w:val="000000"/>
          <w:lang w:eastAsia="en-GB"/>
        </w:rPr>
        <w:t>5</w:t>
      </w:r>
      <w:r>
        <w:rPr>
          <w:rFonts w:ascii="Calibri" w:eastAsia="Times New Roman" w:hAnsi="Calibri" w:cs="Times New Roman"/>
          <w:bCs/>
          <w:i/>
          <w:color w:val="000000"/>
          <w:lang w:eastAsia="en-GB"/>
        </w:rPr>
        <w:t>: Trends in uptake of A2 (Year 13) history over the past three years</w:t>
      </w:r>
    </w:p>
    <w:p w:rsidR="004F7EFC" w:rsidRPr="00C67E21" w:rsidRDefault="004F7EFC" w:rsidP="00745748">
      <w:pPr>
        <w:rPr>
          <w:rFonts w:ascii="Calibri" w:eastAsia="Times New Roman" w:hAnsi="Calibri" w:cs="Times New Roman"/>
          <w:bCs/>
          <w:color w:val="000000"/>
          <w:lang w:eastAsia="en-GB"/>
        </w:rPr>
      </w:pPr>
      <w:r>
        <w:rPr>
          <w:noProof/>
          <w:lang w:eastAsia="en-GB"/>
        </w:rPr>
        <w:drawing>
          <wp:inline distT="0" distB="0" distL="0" distR="0">
            <wp:extent cx="4943475" cy="274320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4546" w:rsidRPr="004E4546" w:rsidRDefault="00E46D78" w:rsidP="00745748">
      <w:pPr>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br/>
        <w:t xml:space="preserve">5. 3 </w:t>
      </w:r>
      <w:r w:rsidR="004E4546" w:rsidRPr="004E4546">
        <w:rPr>
          <w:rFonts w:ascii="Calibri" w:eastAsia="Times New Roman" w:hAnsi="Calibri" w:cs="Times New Roman"/>
          <w:b/>
          <w:bCs/>
          <w:color w:val="000000"/>
          <w:lang w:eastAsia="en-GB"/>
        </w:rPr>
        <w:t xml:space="preserve">Entrance requirements for embarking on </w:t>
      </w:r>
      <w:proofErr w:type="gramStart"/>
      <w:r w:rsidR="004E4546" w:rsidRPr="004E4546">
        <w:rPr>
          <w:rFonts w:ascii="Calibri" w:eastAsia="Times New Roman" w:hAnsi="Calibri" w:cs="Times New Roman"/>
          <w:b/>
          <w:bCs/>
          <w:color w:val="000000"/>
          <w:lang w:eastAsia="en-GB"/>
        </w:rPr>
        <w:t>A</w:t>
      </w:r>
      <w:proofErr w:type="gramEnd"/>
      <w:r w:rsidR="004E4546" w:rsidRPr="004E4546">
        <w:rPr>
          <w:rFonts w:ascii="Calibri" w:eastAsia="Times New Roman" w:hAnsi="Calibri" w:cs="Times New Roman"/>
          <w:b/>
          <w:bCs/>
          <w:color w:val="000000"/>
          <w:lang w:eastAsia="en-GB"/>
        </w:rPr>
        <w:t xml:space="preserve"> level history courses</w:t>
      </w:r>
    </w:p>
    <w:p w:rsidR="004E4546" w:rsidRPr="004E4546" w:rsidRDefault="004E4546"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vast majority of </w:t>
      </w:r>
      <w:r w:rsidR="00C60B53">
        <w:rPr>
          <w:rFonts w:ascii="Calibri" w:eastAsia="Times New Roman" w:hAnsi="Calibri" w:cs="Times New Roman"/>
          <w:bCs/>
          <w:color w:val="000000"/>
          <w:lang w:eastAsia="en-GB"/>
        </w:rPr>
        <w:t xml:space="preserve">respondents </w:t>
      </w:r>
      <w:r w:rsidR="00435E1D">
        <w:rPr>
          <w:rFonts w:ascii="Calibri" w:eastAsia="Times New Roman" w:hAnsi="Calibri" w:cs="Times New Roman"/>
          <w:bCs/>
          <w:color w:val="000000"/>
          <w:lang w:eastAsia="en-GB"/>
        </w:rPr>
        <w:t xml:space="preserve">(84%) </w:t>
      </w:r>
      <w:r w:rsidR="00C60B53">
        <w:rPr>
          <w:rFonts w:ascii="Calibri" w:eastAsia="Times New Roman" w:hAnsi="Calibri" w:cs="Times New Roman"/>
          <w:bCs/>
          <w:color w:val="000000"/>
          <w:lang w:eastAsia="en-GB"/>
        </w:rPr>
        <w:t xml:space="preserve">report that their schools and colleges </w:t>
      </w:r>
      <w:r w:rsidR="00435E1D">
        <w:rPr>
          <w:rFonts w:ascii="Calibri" w:eastAsia="Times New Roman" w:hAnsi="Calibri" w:cs="Times New Roman"/>
          <w:bCs/>
          <w:color w:val="000000"/>
          <w:lang w:eastAsia="en-GB"/>
        </w:rPr>
        <w:t xml:space="preserve">set </w:t>
      </w:r>
      <w:r>
        <w:rPr>
          <w:rFonts w:ascii="Calibri" w:eastAsia="Times New Roman" w:hAnsi="Calibri" w:cs="Times New Roman"/>
          <w:bCs/>
          <w:color w:val="000000"/>
          <w:lang w:eastAsia="en-GB"/>
        </w:rPr>
        <w:t xml:space="preserve">a minimum requirement </w:t>
      </w:r>
      <w:r w:rsidR="00435E1D">
        <w:rPr>
          <w:rFonts w:ascii="Calibri" w:eastAsia="Times New Roman" w:hAnsi="Calibri" w:cs="Times New Roman"/>
          <w:bCs/>
          <w:color w:val="000000"/>
          <w:lang w:eastAsia="en-GB"/>
        </w:rPr>
        <w:t xml:space="preserve">for admission to A level courses, although there were cases in all types of </w:t>
      </w:r>
      <w:r w:rsidR="00C60B53">
        <w:rPr>
          <w:rFonts w:ascii="Calibri" w:eastAsia="Times New Roman" w:hAnsi="Calibri" w:cs="Times New Roman"/>
          <w:bCs/>
          <w:color w:val="000000"/>
          <w:lang w:eastAsia="en-GB"/>
        </w:rPr>
        <w:t>context</w:t>
      </w:r>
      <w:r w:rsidR="00435E1D">
        <w:rPr>
          <w:rFonts w:ascii="Calibri" w:eastAsia="Times New Roman" w:hAnsi="Calibri" w:cs="Times New Roman"/>
          <w:bCs/>
          <w:color w:val="000000"/>
          <w:lang w:eastAsia="en-GB"/>
        </w:rPr>
        <w:t xml:space="preserve">, except grammar schools of an apparently open admissions policy. </w:t>
      </w:r>
      <w:r w:rsidR="00B63B13">
        <w:rPr>
          <w:rFonts w:ascii="Calibri" w:eastAsia="Times New Roman" w:hAnsi="Calibri" w:cs="Times New Roman"/>
          <w:bCs/>
          <w:color w:val="000000"/>
          <w:lang w:eastAsia="en-GB"/>
        </w:rPr>
        <w:t xml:space="preserve">Twenty-six respondents referred only to their school’s standard </w:t>
      </w:r>
      <w:r w:rsidR="00B63B13" w:rsidRPr="004E4546">
        <w:rPr>
          <w:rFonts w:ascii="Calibri" w:eastAsia="Times New Roman" w:hAnsi="Calibri" w:cs="Times New Roman"/>
          <w:bCs/>
          <w:color w:val="000000"/>
          <w:lang w:eastAsia="en-GB"/>
        </w:rPr>
        <w:t xml:space="preserve">requirements for entry to the sixth form, which was most often five GCSE grades at C or above, </w:t>
      </w:r>
      <w:r w:rsidR="00B63B13">
        <w:rPr>
          <w:rFonts w:ascii="Calibri" w:eastAsia="Times New Roman" w:hAnsi="Calibri" w:cs="Times New Roman"/>
          <w:bCs/>
          <w:color w:val="000000"/>
          <w:lang w:eastAsia="en-GB"/>
        </w:rPr>
        <w:t xml:space="preserve">but some higher </w:t>
      </w:r>
      <w:r w:rsidR="00B63B13" w:rsidRPr="004E4546">
        <w:rPr>
          <w:rFonts w:ascii="Calibri" w:eastAsia="Times New Roman" w:hAnsi="Calibri" w:cs="Times New Roman"/>
          <w:bCs/>
          <w:color w:val="000000"/>
          <w:lang w:eastAsia="en-GB"/>
        </w:rPr>
        <w:t>combination</w:t>
      </w:r>
      <w:r w:rsidR="00B63B13">
        <w:rPr>
          <w:rFonts w:ascii="Calibri" w:eastAsia="Times New Roman" w:hAnsi="Calibri" w:cs="Times New Roman"/>
          <w:bCs/>
          <w:color w:val="000000"/>
          <w:lang w:eastAsia="en-GB"/>
        </w:rPr>
        <w:t>s were sought (such as six  grade B results at GCSE, or two grade As and three grade Bs)</w:t>
      </w:r>
      <w:r w:rsidR="00B63B13" w:rsidRPr="004E4546">
        <w:rPr>
          <w:rFonts w:ascii="Calibri" w:eastAsia="Times New Roman" w:hAnsi="Calibri" w:cs="Times New Roman"/>
          <w:bCs/>
          <w:color w:val="000000"/>
          <w:lang w:eastAsia="en-GB"/>
        </w:rPr>
        <w:t>.</w:t>
      </w:r>
      <w:r w:rsidR="00B63B13">
        <w:rPr>
          <w:rFonts w:ascii="Calibri" w:eastAsia="Times New Roman" w:hAnsi="Calibri" w:cs="Times New Roman"/>
          <w:bCs/>
          <w:color w:val="000000"/>
          <w:lang w:eastAsia="en-GB"/>
        </w:rPr>
        <w:t xml:space="preserve"> </w:t>
      </w:r>
      <w:r w:rsidRPr="004E4546">
        <w:rPr>
          <w:rFonts w:ascii="Calibri" w:eastAsia="Times New Roman" w:hAnsi="Calibri" w:cs="Times New Roman"/>
          <w:bCs/>
          <w:color w:val="000000"/>
          <w:lang w:eastAsia="en-GB"/>
        </w:rPr>
        <w:t xml:space="preserve">Where schools insisted on a particular grade at history GCSE (or IGCSE) in order for students to be allowed to start the AS level course, this was most commonly a B grade: 157 </w:t>
      </w:r>
      <w:r w:rsidR="004F7EFC">
        <w:rPr>
          <w:rFonts w:ascii="Calibri" w:eastAsia="Times New Roman" w:hAnsi="Calibri" w:cs="Times New Roman"/>
          <w:bCs/>
          <w:color w:val="000000"/>
          <w:lang w:eastAsia="en-GB"/>
        </w:rPr>
        <w:t>r</w:t>
      </w:r>
      <w:r w:rsidRPr="004E4546">
        <w:rPr>
          <w:rFonts w:ascii="Calibri" w:eastAsia="Times New Roman" w:hAnsi="Calibri" w:cs="Times New Roman"/>
          <w:bCs/>
          <w:color w:val="000000"/>
          <w:lang w:eastAsia="en-GB"/>
        </w:rPr>
        <w:t xml:space="preserve">espondents reported that their school required a B in history (or English), while 104 required only a C grade.  A few schools (only </w:t>
      </w:r>
      <w:r w:rsidR="00903F31">
        <w:rPr>
          <w:rFonts w:ascii="Calibri" w:eastAsia="Times New Roman" w:hAnsi="Calibri" w:cs="Times New Roman"/>
          <w:bCs/>
          <w:color w:val="000000"/>
          <w:lang w:eastAsia="en-GB"/>
        </w:rPr>
        <w:t>8</w:t>
      </w:r>
      <w:r w:rsidR="00F41655">
        <w:rPr>
          <w:rFonts w:ascii="Calibri" w:eastAsia="Times New Roman" w:hAnsi="Calibri" w:cs="Times New Roman"/>
          <w:bCs/>
          <w:color w:val="000000"/>
          <w:lang w:eastAsia="en-GB"/>
        </w:rPr>
        <w:t xml:space="preserve"> – all of them </w:t>
      </w:r>
      <w:r w:rsidR="00F41655">
        <w:rPr>
          <w:rFonts w:ascii="Calibri" w:eastAsia="Times New Roman" w:hAnsi="Calibri" w:cs="Times New Roman"/>
          <w:bCs/>
          <w:color w:val="000000"/>
          <w:lang w:eastAsia="en-GB"/>
        </w:rPr>
        <w:lastRenderedPageBreak/>
        <w:t>independent or grammar</w:t>
      </w:r>
      <w:r w:rsidR="004803B8">
        <w:rPr>
          <w:rFonts w:ascii="Calibri" w:eastAsia="Times New Roman" w:hAnsi="Calibri" w:cs="Times New Roman"/>
          <w:bCs/>
          <w:color w:val="000000"/>
          <w:lang w:eastAsia="en-GB"/>
        </w:rPr>
        <w:t xml:space="preserve"> </w:t>
      </w:r>
      <w:r w:rsidR="00F41655">
        <w:rPr>
          <w:rFonts w:ascii="Calibri" w:eastAsia="Times New Roman" w:hAnsi="Calibri" w:cs="Times New Roman"/>
          <w:bCs/>
          <w:color w:val="000000"/>
          <w:lang w:eastAsia="en-GB"/>
        </w:rPr>
        <w:t>schools</w:t>
      </w:r>
      <w:r w:rsidRPr="004E4546">
        <w:rPr>
          <w:rFonts w:ascii="Calibri" w:eastAsia="Times New Roman" w:hAnsi="Calibri" w:cs="Times New Roman"/>
          <w:bCs/>
          <w:color w:val="000000"/>
          <w:lang w:eastAsia="en-GB"/>
        </w:rPr>
        <w:t>) declared that students could only be accepted onto the AS level course if they had achieved a grade A at GCSE.</w:t>
      </w:r>
      <w:r w:rsidR="00B63B13">
        <w:rPr>
          <w:rFonts w:ascii="Calibri" w:eastAsia="Times New Roman" w:hAnsi="Calibri" w:cs="Times New Roman"/>
          <w:bCs/>
          <w:color w:val="000000"/>
          <w:lang w:eastAsia="en-GB"/>
        </w:rPr>
        <w:t xml:space="preserve"> </w:t>
      </w:r>
      <w:r>
        <w:rPr>
          <w:rFonts w:ascii="Calibri" w:eastAsia="Times New Roman" w:hAnsi="Calibri" w:cs="Times New Roman"/>
          <w:bCs/>
          <w:color w:val="000000"/>
          <w:lang w:eastAsia="en-GB"/>
        </w:rPr>
        <w:t xml:space="preserve">Sixteen </w:t>
      </w:r>
      <w:r w:rsidRPr="004E4546">
        <w:rPr>
          <w:rFonts w:ascii="Calibri" w:eastAsia="Times New Roman" w:hAnsi="Calibri" w:cs="Times New Roman"/>
          <w:bCs/>
          <w:color w:val="000000"/>
          <w:lang w:eastAsia="en-GB"/>
        </w:rPr>
        <w:t xml:space="preserve">respondents suggested that while a minimum grade was stipulated they did have some flexibility, especially if the student was enthusiastic. </w:t>
      </w:r>
    </w:p>
    <w:p w:rsidR="004E4546" w:rsidRDefault="004E4546" w:rsidP="00745748">
      <w:pPr>
        <w:jc w:val="both"/>
        <w:rPr>
          <w:rFonts w:ascii="Calibri" w:eastAsia="Times New Roman" w:hAnsi="Calibri" w:cs="Times New Roman"/>
          <w:bCs/>
          <w:color w:val="000000"/>
          <w:lang w:eastAsia="en-GB"/>
        </w:rPr>
      </w:pPr>
      <w:r w:rsidRPr="004E4546">
        <w:rPr>
          <w:rFonts w:ascii="Calibri" w:eastAsia="Times New Roman" w:hAnsi="Calibri" w:cs="Times New Roman"/>
          <w:bCs/>
          <w:color w:val="000000"/>
          <w:lang w:eastAsia="en-GB"/>
        </w:rPr>
        <w:t>While one or two schools absolutely insisted on students having taken GCSE or (IGCSE) history</w:t>
      </w:r>
      <w:r w:rsidR="00B63B13">
        <w:rPr>
          <w:rFonts w:ascii="Calibri" w:eastAsia="Times New Roman" w:hAnsi="Calibri" w:cs="Times New Roman"/>
          <w:bCs/>
          <w:color w:val="000000"/>
          <w:lang w:eastAsia="en-GB"/>
        </w:rPr>
        <w:t xml:space="preserve"> in order to go on to AS in the subject</w:t>
      </w:r>
      <w:r w:rsidRPr="004E4546">
        <w:rPr>
          <w:rFonts w:ascii="Calibri" w:eastAsia="Times New Roman" w:hAnsi="Calibri" w:cs="Times New Roman"/>
          <w:bCs/>
          <w:color w:val="000000"/>
          <w:lang w:eastAsia="en-GB"/>
        </w:rPr>
        <w:t xml:space="preserve">, the vast majority seemed to accept occasional students who had not taken history. Prior attainment at English was then taken into account - and some schools also </w:t>
      </w:r>
      <w:r w:rsidR="00B63B13">
        <w:rPr>
          <w:rFonts w:ascii="Calibri" w:eastAsia="Times New Roman" w:hAnsi="Calibri" w:cs="Times New Roman"/>
          <w:bCs/>
          <w:color w:val="000000"/>
          <w:lang w:eastAsia="en-GB"/>
        </w:rPr>
        <w:t xml:space="preserve">automatically </w:t>
      </w:r>
      <w:r w:rsidRPr="004E4546">
        <w:rPr>
          <w:rFonts w:ascii="Calibri" w:eastAsia="Times New Roman" w:hAnsi="Calibri" w:cs="Times New Roman"/>
          <w:bCs/>
          <w:color w:val="000000"/>
          <w:lang w:eastAsia="en-GB"/>
        </w:rPr>
        <w:t>considered students</w:t>
      </w:r>
      <w:r>
        <w:rPr>
          <w:rFonts w:ascii="Calibri" w:eastAsia="Times New Roman" w:hAnsi="Calibri" w:cs="Times New Roman"/>
          <w:bCs/>
          <w:color w:val="000000"/>
          <w:lang w:eastAsia="en-GB"/>
        </w:rPr>
        <w:t xml:space="preserve">’ English results </w:t>
      </w:r>
      <w:r w:rsidRPr="004E4546">
        <w:rPr>
          <w:rFonts w:ascii="Calibri" w:eastAsia="Times New Roman" w:hAnsi="Calibri" w:cs="Times New Roman"/>
          <w:bCs/>
          <w:color w:val="000000"/>
          <w:lang w:eastAsia="en-GB"/>
        </w:rPr>
        <w:t xml:space="preserve">at GCSE </w:t>
      </w:r>
      <w:r>
        <w:rPr>
          <w:rFonts w:ascii="Calibri" w:eastAsia="Times New Roman" w:hAnsi="Calibri" w:cs="Times New Roman"/>
          <w:bCs/>
          <w:color w:val="000000"/>
          <w:lang w:eastAsia="en-GB"/>
        </w:rPr>
        <w:t xml:space="preserve">alongside their grade in history in order to inform their decision. </w:t>
      </w:r>
    </w:p>
    <w:p w:rsidR="00096C5D" w:rsidRDefault="00E46D78" w:rsidP="00745748">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5.4 </w:t>
      </w:r>
      <w:r w:rsidR="00096C5D">
        <w:rPr>
          <w:rFonts w:ascii="Calibri" w:eastAsia="Times New Roman" w:hAnsi="Calibri" w:cs="Times New Roman"/>
          <w:b/>
          <w:bCs/>
          <w:color w:val="000000"/>
          <w:lang w:eastAsia="en-GB"/>
        </w:rPr>
        <w:t xml:space="preserve">Respondents’ views of the restrictions </w:t>
      </w:r>
      <w:r w:rsidR="005D27E0">
        <w:rPr>
          <w:rFonts w:ascii="Calibri" w:eastAsia="Times New Roman" w:hAnsi="Calibri" w:cs="Times New Roman"/>
          <w:b/>
          <w:bCs/>
          <w:color w:val="000000"/>
          <w:lang w:eastAsia="en-GB"/>
        </w:rPr>
        <w:t xml:space="preserve">on uptake </w:t>
      </w:r>
      <w:r w:rsidR="00096C5D">
        <w:rPr>
          <w:rFonts w:ascii="Calibri" w:eastAsia="Times New Roman" w:hAnsi="Calibri" w:cs="Times New Roman"/>
          <w:b/>
          <w:bCs/>
          <w:color w:val="000000"/>
          <w:lang w:eastAsia="en-GB"/>
        </w:rPr>
        <w:t>that their schools applied to potential AS students</w:t>
      </w:r>
    </w:p>
    <w:p w:rsidR="00096C5D" w:rsidRDefault="001B13F0"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Among the 75</w:t>
      </w:r>
      <w:r w:rsidR="00096C5D">
        <w:rPr>
          <w:rFonts w:ascii="Calibri" w:eastAsia="Times New Roman" w:hAnsi="Calibri" w:cs="Times New Roman"/>
          <w:bCs/>
          <w:color w:val="000000"/>
          <w:lang w:eastAsia="en-GB"/>
        </w:rPr>
        <w:t xml:space="preserve"> respondents who expressed an opinion, there was widespread support for the principle of some kind of entry qualification. Al</w:t>
      </w:r>
      <w:r>
        <w:rPr>
          <w:rFonts w:ascii="Calibri" w:eastAsia="Times New Roman" w:hAnsi="Calibri" w:cs="Times New Roman"/>
          <w:bCs/>
          <w:color w:val="000000"/>
          <w:lang w:eastAsia="en-GB"/>
        </w:rPr>
        <w:t>most half of the respondents (36</w:t>
      </w:r>
      <w:r w:rsidR="00096C5D">
        <w:rPr>
          <w:rFonts w:ascii="Calibri" w:eastAsia="Times New Roman" w:hAnsi="Calibri" w:cs="Times New Roman"/>
          <w:bCs/>
          <w:color w:val="000000"/>
          <w:lang w:eastAsia="en-GB"/>
        </w:rPr>
        <w:t xml:space="preserve">) referred to the long-standing requirements in their school and many more simply took the principle for granted. Almost as many (29) emphatically endorsed the principle of selection, regarding it as essential in eliminating ‘drop-out’ and ensuring that the candidates who took the exam would be successful. A further four respondents, in schools where the minimum requirement had been lowered from a B to a C, or where the official policy seemed to be relaxed to ensure more entrants to the sixth form, regretted the fact that they did not have higher entrance requirements which they thought would reduce drop out and prevent students from making inappropriate choices. </w:t>
      </w:r>
    </w:p>
    <w:p w:rsidR="00096C5D" w:rsidRDefault="00096C5D"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Only five respondents expressed any kind of regret that those who did not meet the school’s minimum requirements were prevented from taking history at AS level. One other respondent pointed to problems now being caused by early GCSE entry, with reduced numbers of AS entrants because of the fact that fewer students achieved a grade B in Year 10 (than had been the case when students took the exam in Year 11), an outcome that s/he attributed in part to the students’ lack of maturity at the time when they took the GCSE exam.  </w:t>
      </w:r>
    </w:p>
    <w:p w:rsidR="003F78CE" w:rsidRDefault="00E46D78" w:rsidP="00745748">
      <w:pPr>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5.5 </w:t>
      </w:r>
      <w:r w:rsidR="005D27E0">
        <w:rPr>
          <w:rFonts w:ascii="Calibri" w:eastAsia="Times New Roman" w:hAnsi="Calibri" w:cs="Times New Roman"/>
          <w:b/>
          <w:bCs/>
          <w:color w:val="000000"/>
          <w:lang w:eastAsia="en-GB"/>
        </w:rPr>
        <w:t>Reactions to the decision to separate AS and A2 qualifications</w:t>
      </w:r>
    </w:p>
    <w:p w:rsidR="00246084" w:rsidRDefault="003F78CE"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Department of Education has announced that for A level courses that begin from 2015 onwards, the AS level qualification will be entirely separate from the A level (or A2) qualification. While AS levels will still exist </w:t>
      </w:r>
      <w:r w:rsidR="00246084">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and be counted for UCAS purposes as being worth half the points score of a full A level</w:t>
      </w:r>
      <w:r w:rsidR="00246084">
        <w:rPr>
          <w:rFonts w:ascii="Calibri" w:eastAsia="Times New Roman" w:hAnsi="Calibri" w:cs="Times New Roman"/>
          <w:bCs/>
          <w:color w:val="000000"/>
          <w:lang w:eastAsia="en-GB"/>
        </w:rPr>
        <w:t xml:space="preserve">), </w:t>
      </w:r>
      <w:r>
        <w:rPr>
          <w:rFonts w:ascii="Calibri" w:eastAsia="Times New Roman" w:hAnsi="Calibri" w:cs="Times New Roman"/>
          <w:bCs/>
          <w:color w:val="000000"/>
          <w:lang w:eastAsia="en-GB"/>
        </w:rPr>
        <w:t xml:space="preserve">candidates taking A level courses will have to be examined on the entire content of the full A level programme at the end of the two-year </w:t>
      </w:r>
      <w:r w:rsidR="00246084">
        <w:rPr>
          <w:rFonts w:ascii="Calibri" w:eastAsia="Times New Roman" w:hAnsi="Calibri" w:cs="Times New Roman"/>
          <w:bCs/>
          <w:color w:val="000000"/>
          <w:lang w:eastAsia="en-GB"/>
        </w:rPr>
        <w:t>course</w:t>
      </w:r>
      <w:r>
        <w:rPr>
          <w:rFonts w:ascii="Calibri" w:eastAsia="Times New Roman" w:hAnsi="Calibri" w:cs="Times New Roman"/>
          <w:bCs/>
          <w:color w:val="000000"/>
          <w:lang w:eastAsia="en-GB"/>
        </w:rPr>
        <w:t xml:space="preserve">.   </w:t>
      </w:r>
      <w:r w:rsidR="00246084">
        <w:rPr>
          <w:rFonts w:ascii="Calibri" w:eastAsia="Times New Roman" w:hAnsi="Calibri" w:cs="Times New Roman"/>
          <w:bCs/>
          <w:color w:val="000000"/>
          <w:lang w:eastAsia="en-GB"/>
        </w:rPr>
        <w:t xml:space="preserve">Achievement at AS level thus makes no contribution to achievement at A level, and students will be expected to enrol </w:t>
      </w:r>
      <w:r w:rsidR="00246084" w:rsidRPr="00246084">
        <w:rPr>
          <w:rFonts w:ascii="Calibri" w:eastAsia="Times New Roman" w:hAnsi="Calibri" w:cs="Times New Roman"/>
          <w:b/>
          <w:bCs/>
          <w:color w:val="000000"/>
          <w:lang w:eastAsia="en-GB"/>
        </w:rPr>
        <w:t>either</w:t>
      </w:r>
      <w:r w:rsidR="00246084">
        <w:rPr>
          <w:rFonts w:ascii="Calibri" w:eastAsia="Times New Roman" w:hAnsi="Calibri" w:cs="Times New Roman"/>
          <w:bCs/>
          <w:color w:val="000000"/>
          <w:lang w:eastAsia="en-GB"/>
        </w:rPr>
        <w:t xml:space="preserve"> on AS level courses, completed in one year, </w:t>
      </w:r>
      <w:r w:rsidR="00246084" w:rsidRPr="00246084">
        <w:rPr>
          <w:rFonts w:ascii="Calibri" w:eastAsia="Times New Roman" w:hAnsi="Calibri" w:cs="Times New Roman"/>
          <w:b/>
          <w:bCs/>
          <w:color w:val="000000"/>
          <w:lang w:eastAsia="en-GB"/>
        </w:rPr>
        <w:t>or</w:t>
      </w:r>
      <w:r w:rsidR="00246084">
        <w:rPr>
          <w:rFonts w:ascii="Calibri" w:eastAsia="Times New Roman" w:hAnsi="Calibri" w:cs="Times New Roman"/>
          <w:bCs/>
          <w:color w:val="000000"/>
          <w:lang w:eastAsia="en-GB"/>
        </w:rPr>
        <w:t xml:space="preserve"> on separate A level courses, to be completed in two years. Respondents to the survey were asked how far they agreed with the suggestion that this separation of the two qualifications would improve students’ learning. </w:t>
      </w:r>
    </w:p>
    <w:p w:rsidR="00246084" w:rsidRDefault="00246084"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As Figure 1</w:t>
      </w:r>
      <w:r w:rsidR="00785EBF">
        <w:rPr>
          <w:rFonts w:ascii="Calibri" w:eastAsia="Times New Roman" w:hAnsi="Calibri" w:cs="Times New Roman"/>
          <w:bCs/>
          <w:color w:val="000000"/>
          <w:lang w:eastAsia="en-GB"/>
        </w:rPr>
        <w:t>6</w:t>
      </w:r>
      <w:r>
        <w:rPr>
          <w:rFonts w:ascii="Calibri" w:eastAsia="Times New Roman" w:hAnsi="Calibri" w:cs="Times New Roman"/>
          <w:bCs/>
          <w:color w:val="000000"/>
          <w:lang w:eastAsia="en-GB"/>
        </w:rPr>
        <w:t xml:space="preserve"> shows, over half of respondents in schools and colleges in which </w:t>
      </w:r>
      <w:proofErr w:type="gramStart"/>
      <w:r>
        <w:rPr>
          <w:rFonts w:ascii="Calibri" w:eastAsia="Times New Roman" w:hAnsi="Calibri" w:cs="Times New Roman"/>
          <w:bCs/>
          <w:color w:val="000000"/>
          <w:lang w:eastAsia="en-GB"/>
        </w:rPr>
        <w:t>A</w:t>
      </w:r>
      <w:proofErr w:type="gramEnd"/>
      <w:r>
        <w:rPr>
          <w:rFonts w:ascii="Calibri" w:eastAsia="Times New Roman" w:hAnsi="Calibri" w:cs="Times New Roman"/>
          <w:bCs/>
          <w:color w:val="000000"/>
          <w:lang w:eastAsia="en-GB"/>
        </w:rPr>
        <w:t xml:space="preserve"> level is currently taught disagreed with the suggestion that the new arrangements would ensure that </w:t>
      </w:r>
      <w:r w:rsidRPr="005D27E0">
        <w:rPr>
          <w:rFonts w:ascii="Calibri" w:eastAsia="Times New Roman" w:hAnsi="Calibri" w:cs="Times New Roman"/>
          <w:bCs/>
          <w:color w:val="000000"/>
          <w:lang w:eastAsia="en-GB"/>
        </w:rPr>
        <w:t>students learn history more effectively and that those</w:t>
      </w:r>
      <w:r>
        <w:rPr>
          <w:rFonts w:ascii="Calibri" w:eastAsia="Times New Roman" w:hAnsi="Calibri" w:cs="Times New Roman"/>
          <w:bCs/>
          <w:color w:val="000000"/>
          <w:lang w:eastAsia="en-GB"/>
        </w:rPr>
        <w:t xml:space="preserve"> continuing with the subject would</w:t>
      </w:r>
      <w:r w:rsidRPr="005D27E0">
        <w:rPr>
          <w:rFonts w:ascii="Calibri" w:eastAsia="Times New Roman" w:hAnsi="Calibri" w:cs="Times New Roman"/>
          <w:bCs/>
          <w:color w:val="000000"/>
          <w:lang w:eastAsia="en-GB"/>
        </w:rPr>
        <w:t xml:space="preserve"> be better prepared for university study.</w:t>
      </w:r>
      <w:r>
        <w:rPr>
          <w:rFonts w:ascii="Calibri" w:eastAsia="Times New Roman" w:hAnsi="Calibri" w:cs="Times New Roman"/>
          <w:bCs/>
          <w:color w:val="000000"/>
          <w:lang w:eastAsia="en-GB"/>
        </w:rPr>
        <w:t xml:space="preserve"> The strength of opposition to the change was most pronounced among the small number of sixth form colleges that responded to the survey, and support was much more pronounced among the few grammar school respondents, with the independent schools very evenly divided in their views. </w:t>
      </w:r>
    </w:p>
    <w:p w:rsidR="00F37B1D" w:rsidRDefault="00246084" w:rsidP="00745748">
      <w:pPr>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br/>
      </w:r>
    </w:p>
    <w:p w:rsidR="00745748" w:rsidRDefault="00246084" w:rsidP="00745748">
      <w:pPr>
        <w:spacing w:line="240" w:lineRule="auto"/>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lastRenderedPageBreak/>
        <w:t>Figure 1</w:t>
      </w:r>
      <w:r w:rsidR="00785EBF">
        <w:rPr>
          <w:rFonts w:ascii="Calibri" w:eastAsia="Times New Roman" w:hAnsi="Calibri" w:cs="Times New Roman"/>
          <w:bCs/>
          <w:i/>
          <w:color w:val="000000"/>
          <w:lang w:eastAsia="en-GB"/>
        </w:rPr>
        <w:t>6</w:t>
      </w:r>
      <w:r>
        <w:rPr>
          <w:rFonts w:ascii="Calibri" w:eastAsia="Times New Roman" w:hAnsi="Calibri" w:cs="Times New Roman"/>
          <w:bCs/>
          <w:i/>
          <w:color w:val="000000"/>
          <w:lang w:eastAsia="en-GB"/>
        </w:rPr>
        <w:t>: 2013 Reactions to the suggestion that separating AS and A2 would improve students’ learning in history</w:t>
      </w:r>
    </w:p>
    <w:p w:rsidR="004F7EFC" w:rsidRDefault="00246084" w:rsidP="00745748">
      <w:pPr>
        <w:spacing w:line="240" w:lineRule="auto"/>
        <w:jc w:val="both"/>
        <w:rPr>
          <w:rFonts w:ascii="Calibri" w:eastAsia="Times New Roman" w:hAnsi="Calibri" w:cs="Times New Roman"/>
          <w:b/>
          <w:bCs/>
          <w:color w:val="000000"/>
          <w:lang w:eastAsia="en-GB"/>
        </w:rPr>
      </w:pPr>
      <w:r>
        <w:rPr>
          <w:rFonts w:ascii="Calibri" w:eastAsia="Times New Roman" w:hAnsi="Calibri" w:cs="Times New Roman"/>
          <w:bCs/>
          <w:i/>
          <w:color w:val="000000"/>
          <w:lang w:eastAsia="en-GB"/>
        </w:rPr>
        <w:br/>
      </w:r>
      <w:r w:rsidR="004F7EFC">
        <w:rPr>
          <w:noProof/>
          <w:lang w:eastAsia="en-GB"/>
        </w:rPr>
        <w:drawing>
          <wp:inline distT="0" distB="0" distL="0" distR="0">
            <wp:extent cx="5735782" cy="2867890"/>
            <wp:effectExtent l="0" t="0" r="17780" b="279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6084" w:rsidRDefault="00246084"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When asked specifically about the likely impact of the changes on history provision in their own contexts, about half the respondents thought that it was simply too soon to tell. Another fifth thought that the impact would essentially be quite limited, but among those who thought that there would be a noticeable effect, the prevailing view was that this would be negative. A quarter of all respondents thought that the impact would be negative, whereas only 4% of respondents thought that there would be a positive impact. As previously, the small number of grammar school respondents was most positive about the potential impact, with 29% expecting it to be positive, and there was some support within the independent sector (11% expecting the change to have a positive impact). </w:t>
      </w:r>
    </w:p>
    <w:p w:rsidR="00246084" w:rsidRPr="00246084" w:rsidRDefault="00246084" w:rsidP="00745748">
      <w:pPr>
        <w:spacing w:line="240" w:lineRule="auto"/>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w:t>
      </w:r>
      <w:r w:rsidR="00785EBF">
        <w:rPr>
          <w:rFonts w:ascii="Calibri" w:eastAsia="Times New Roman" w:hAnsi="Calibri" w:cs="Times New Roman"/>
          <w:bCs/>
          <w:i/>
          <w:color w:val="000000"/>
          <w:lang w:eastAsia="en-GB"/>
        </w:rPr>
        <w:t>7</w:t>
      </w:r>
      <w:r>
        <w:rPr>
          <w:rFonts w:ascii="Calibri" w:eastAsia="Times New Roman" w:hAnsi="Calibri" w:cs="Times New Roman"/>
          <w:bCs/>
          <w:i/>
          <w:color w:val="000000"/>
          <w:lang w:eastAsia="en-GB"/>
        </w:rPr>
        <w:t xml:space="preserve">: 2013 Respondents’ views about the impact of the change on the provision and uptake of history at </w:t>
      </w:r>
      <w:proofErr w:type="gramStart"/>
      <w:r>
        <w:rPr>
          <w:rFonts w:ascii="Calibri" w:eastAsia="Times New Roman" w:hAnsi="Calibri" w:cs="Times New Roman"/>
          <w:bCs/>
          <w:i/>
          <w:color w:val="000000"/>
          <w:lang w:eastAsia="en-GB"/>
        </w:rPr>
        <w:t>A</w:t>
      </w:r>
      <w:proofErr w:type="gramEnd"/>
      <w:r>
        <w:rPr>
          <w:rFonts w:ascii="Calibri" w:eastAsia="Times New Roman" w:hAnsi="Calibri" w:cs="Times New Roman"/>
          <w:bCs/>
          <w:i/>
          <w:color w:val="000000"/>
          <w:lang w:eastAsia="en-GB"/>
        </w:rPr>
        <w:t xml:space="preserve"> level within their school </w:t>
      </w:r>
    </w:p>
    <w:p w:rsidR="004F7EFC" w:rsidRDefault="004F7EFC" w:rsidP="00745748">
      <w:pPr>
        <w:rPr>
          <w:rFonts w:ascii="Calibri" w:eastAsia="Times New Roman" w:hAnsi="Calibri" w:cs="Times New Roman"/>
          <w:bCs/>
          <w:color w:val="000000"/>
          <w:lang w:eastAsia="en-GB"/>
        </w:rPr>
      </w:pPr>
      <w:r>
        <w:rPr>
          <w:noProof/>
          <w:lang w:eastAsia="en-GB"/>
        </w:rPr>
        <w:drawing>
          <wp:inline distT="0" distB="0" distL="0" distR="0">
            <wp:extent cx="5902036" cy="2743200"/>
            <wp:effectExtent l="0" t="0" r="2286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7E6F" w:rsidRDefault="00E46D78"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br/>
      </w:r>
      <w:r w:rsidR="00197E6F">
        <w:rPr>
          <w:rFonts w:ascii="Calibri" w:eastAsia="Times New Roman" w:hAnsi="Calibri" w:cs="Times New Roman"/>
          <w:bCs/>
          <w:color w:val="000000"/>
          <w:lang w:eastAsia="en-GB"/>
        </w:rPr>
        <w:t xml:space="preserve">Only two teachers gave an explanation for their assumption that the change would be positive, one (from a grammar school) welcoming the time that it would give students to adjust to the higher demands of A level study, while the other (from an independent school) believed that it would allow for effective teaching of </w:t>
      </w:r>
      <w:r w:rsidR="00197E6F" w:rsidRPr="00197E6F">
        <w:rPr>
          <w:rFonts w:ascii="Calibri" w:eastAsia="Times New Roman" w:hAnsi="Calibri" w:cs="Times New Roman"/>
          <w:bCs/>
          <w:i/>
          <w:color w:val="000000"/>
          <w:lang w:eastAsia="en-GB"/>
        </w:rPr>
        <w:t>history</w:t>
      </w:r>
      <w:r w:rsidR="00197E6F">
        <w:rPr>
          <w:rFonts w:ascii="Calibri" w:eastAsia="Times New Roman" w:hAnsi="Calibri" w:cs="Times New Roman"/>
          <w:bCs/>
          <w:i/>
          <w:color w:val="000000"/>
          <w:lang w:eastAsia="en-GB"/>
        </w:rPr>
        <w:t>,</w:t>
      </w:r>
      <w:r w:rsidR="00197E6F">
        <w:rPr>
          <w:rFonts w:ascii="Calibri" w:eastAsia="Times New Roman" w:hAnsi="Calibri" w:cs="Times New Roman"/>
          <w:bCs/>
          <w:color w:val="000000"/>
          <w:lang w:eastAsia="en-GB"/>
        </w:rPr>
        <w:t xml:space="preserve"> rather than a constant focus on the requirements of the exam mark</w:t>
      </w:r>
      <w:r w:rsidR="00B30C80">
        <w:rPr>
          <w:rFonts w:ascii="Calibri" w:eastAsia="Times New Roman" w:hAnsi="Calibri" w:cs="Times New Roman"/>
          <w:bCs/>
          <w:color w:val="000000"/>
          <w:lang w:eastAsia="en-GB"/>
        </w:rPr>
        <w:t>-</w:t>
      </w:r>
      <w:r w:rsidR="00197E6F">
        <w:rPr>
          <w:rFonts w:ascii="Calibri" w:eastAsia="Times New Roman" w:hAnsi="Calibri" w:cs="Times New Roman"/>
          <w:bCs/>
          <w:color w:val="000000"/>
          <w:lang w:eastAsia="en-GB"/>
        </w:rPr>
        <w:t xml:space="preserve">scheme. </w:t>
      </w:r>
    </w:p>
    <w:p w:rsidR="00BC6772" w:rsidRDefault="00197E6F"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Thirty-six respondents explained their assumptions that the impact would be negative. The most common concern was about the narrowing of students’ sixth form studies, with far fewer students (particularly those taking science</w:t>
      </w:r>
      <w:r w:rsidR="00B30C80">
        <w:rPr>
          <w:rFonts w:ascii="Calibri" w:eastAsia="Times New Roman" w:hAnsi="Calibri" w:cs="Times New Roman"/>
          <w:bCs/>
          <w:color w:val="000000"/>
          <w:lang w:eastAsia="en-GB"/>
        </w:rPr>
        <w:t xml:space="preserve"> subjects as their main focus</w:t>
      </w:r>
      <w:r>
        <w:rPr>
          <w:rFonts w:ascii="Calibri" w:eastAsia="Times New Roman" w:hAnsi="Calibri" w:cs="Times New Roman"/>
          <w:bCs/>
          <w:color w:val="000000"/>
          <w:lang w:eastAsia="en-GB"/>
        </w:rPr>
        <w:t xml:space="preserve">) choosing to take the AS level course as a </w:t>
      </w:r>
      <w:r w:rsidR="00B30C80">
        <w:rPr>
          <w:rFonts w:ascii="Calibri" w:eastAsia="Times New Roman" w:hAnsi="Calibri" w:cs="Times New Roman"/>
          <w:bCs/>
          <w:color w:val="000000"/>
          <w:lang w:eastAsia="en-GB"/>
        </w:rPr>
        <w:t>fourth</w:t>
      </w:r>
      <w:r>
        <w:rPr>
          <w:rFonts w:ascii="Calibri" w:eastAsia="Times New Roman" w:hAnsi="Calibri" w:cs="Times New Roman"/>
          <w:bCs/>
          <w:color w:val="000000"/>
          <w:lang w:eastAsia="en-GB"/>
        </w:rPr>
        <w:t xml:space="preserve"> option. The loss of flexibility within the examination arrangements w</w:t>
      </w:r>
      <w:r w:rsidR="00B30C80">
        <w:rPr>
          <w:rFonts w:ascii="Calibri" w:eastAsia="Times New Roman" w:hAnsi="Calibri" w:cs="Times New Roman"/>
          <w:bCs/>
          <w:color w:val="000000"/>
          <w:lang w:eastAsia="en-GB"/>
        </w:rPr>
        <w:t xml:space="preserve">as also expected to lead to the </w:t>
      </w:r>
      <w:r>
        <w:rPr>
          <w:rFonts w:ascii="Calibri" w:eastAsia="Times New Roman" w:hAnsi="Calibri" w:cs="Times New Roman"/>
          <w:bCs/>
          <w:color w:val="000000"/>
          <w:lang w:eastAsia="en-GB"/>
        </w:rPr>
        <w:t xml:space="preserve">loss of those students who had previously chosen history as a fourth option and then found that they enjoyed or were sufficiently good at the subject to make it worth continuing with it to A level. </w:t>
      </w:r>
      <w:r w:rsidR="00B30C80">
        <w:rPr>
          <w:rFonts w:ascii="Calibri" w:eastAsia="Times New Roman" w:hAnsi="Calibri" w:cs="Times New Roman"/>
          <w:bCs/>
          <w:color w:val="000000"/>
          <w:lang w:eastAsia="en-GB"/>
        </w:rPr>
        <w:t xml:space="preserve"> </w:t>
      </w:r>
    </w:p>
    <w:p w:rsidR="00BC6772" w:rsidRDefault="00BC6772" w:rsidP="00745748">
      <w:pPr>
        <w:spacing w:after="0"/>
        <w:ind w:left="720" w:right="720"/>
        <w:jc w:val="both"/>
        <w:rPr>
          <w:rFonts w:ascii="Calibri" w:eastAsia="Times New Roman" w:hAnsi="Calibri" w:cs="Times New Roman"/>
          <w:i/>
          <w:color w:val="000000"/>
          <w:lang w:eastAsia="en-GB"/>
        </w:rPr>
      </w:pPr>
      <w:r w:rsidRPr="00BC6772">
        <w:rPr>
          <w:rFonts w:ascii="Calibri" w:eastAsia="Times New Roman" w:hAnsi="Calibri" w:cs="Times New Roman"/>
          <w:i/>
          <w:color w:val="000000"/>
          <w:lang w:eastAsia="en-GB"/>
        </w:rPr>
        <w:t xml:space="preserve">It will discourage students from gaining a broader base to their education through a range of AS </w:t>
      </w:r>
      <w:proofErr w:type="spellStart"/>
      <w:r w:rsidRPr="00BC6772">
        <w:rPr>
          <w:rFonts w:ascii="Calibri" w:eastAsia="Times New Roman" w:hAnsi="Calibri" w:cs="Times New Roman"/>
          <w:i/>
          <w:color w:val="000000"/>
          <w:lang w:eastAsia="en-GB"/>
        </w:rPr>
        <w:t>as</w:t>
      </w:r>
      <w:proofErr w:type="spellEnd"/>
      <w:r w:rsidRPr="00BC6772">
        <w:rPr>
          <w:rFonts w:ascii="Calibri" w:eastAsia="Times New Roman" w:hAnsi="Calibri" w:cs="Times New Roman"/>
          <w:i/>
          <w:color w:val="000000"/>
          <w:lang w:eastAsia="en-GB"/>
        </w:rPr>
        <w:t xml:space="preserve"> the push will be to concentrate on just the A2 subjects they want for their degree course</w:t>
      </w:r>
      <w:r w:rsidR="004803B8">
        <w:rPr>
          <w:rFonts w:ascii="Calibri" w:eastAsia="Times New Roman" w:hAnsi="Calibri" w:cs="Times New Roman"/>
          <w:i/>
          <w:color w:val="000000"/>
          <w:lang w:eastAsia="en-GB"/>
        </w:rPr>
        <w:tab/>
      </w:r>
      <w:r>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717C44">
        <w:rPr>
          <w:rFonts w:ascii="Calibri" w:eastAsia="Times New Roman" w:hAnsi="Calibri" w:cs="Times New Roman"/>
          <w:i/>
          <w:color w:val="000000"/>
          <w:lang w:eastAsia="en-GB"/>
        </w:rPr>
        <w:t xml:space="preserve">       </w:t>
      </w:r>
      <w:r w:rsidR="004803B8">
        <w:rPr>
          <w:rFonts w:ascii="Calibri" w:eastAsia="Times New Roman" w:hAnsi="Calibri" w:cs="Times New Roman"/>
          <w:i/>
          <w:color w:val="000000"/>
          <w:lang w:eastAsia="en-GB"/>
        </w:rPr>
        <w:tab/>
        <w:t xml:space="preserve">          </w:t>
      </w:r>
      <w:r w:rsidR="00745748">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(Respondent</w:t>
      </w:r>
      <w:r w:rsidR="001028C9">
        <w:rPr>
          <w:rFonts w:ascii="Calibri" w:eastAsia="Times New Roman" w:hAnsi="Calibri" w:cs="Times New Roman"/>
          <w:i/>
          <w:color w:val="000000"/>
          <w:lang w:eastAsia="en-GB"/>
        </w:rPr>
        <w:t xml:space="preserve"> 269</w:t>
      </w:r>
      <w:r>
        <w:rPr>
          <w:rFonts w:ascii="Calibri" w:eastAsia="Times New Roman" w:hAnsi="Calibri" w:cs="Times New Roman"/>
          <w:i/>
          <w:color w:val="000000"/>
          <w:lang w:eastAsia="en-GB"/>
        </w:rPr>
        <w:t>, Comprehensive)</w:t>
      </w:r>
    </w:p>
    <w:p w:rsidR="00BC6772" w:rsidRDefault="00BC6772" w:rsidP="00745748">
      <w:pPr>
        <w:spacing w:after="0"/>
        <w:ind w:left="720" w:right="720"/>
        <w:jc w:val="both"/>
        <w:rPr>
          <w:rFonts w:ascii="Calibri" w:eastAsia="Times New Roman" w:hAnsi="Calibri" w:cs="Times New Roman"/>
          <w:i/>
          <w:color w:val="000000"/>
          <w:lang w:eastAsia="en-GB"/>
        </w:rPr>
      </w:pPr>
    </w:p>
    <w:p w:rsidR="00BC6772" w:rsidRPr="00BC6772" w:rsidRDefault="00BC6772" w:rsidP="00745748">
      <w:pPr>
        <w:spacing w:after="0"/>
        <w:ind w:left="720" w:right="720"/>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M</w:t>
      </w:r>
      <w:r w:rsidRPr="00BC6772">
        <w:rPr>
          <w:rFonts w:ascii="Calibri" w:eastAsia="Times New Roman" w:hAnsi="Calibri" w:cs="Times New Roman"/>
          <w:i/>
          <w:color w:val="000000"/>
          <w:lang w:eastAsia="en-GB"/>
        </w:rPr>
        <w:t>a</w:t>
      </w:r>
      <w:r>
        <w:rPr>
          <w:rFonts w:ascii="Calibri" w:eastAsia="Times New Roman" w:hAnsi="Calibri" w:cs="Times New Roman"/>
          <w:i/>
          <w:color w:val="000000"/>
          <w:lang w:eastAsia="en-GB"/>
        </w:rPr>
        <w:t>n</w:t>
      </w:r>
      <w:r w:rsidRPr="00BC6772">
        <w:rPr>
          <w:rFonts w:ascii="Calibri" w:eastAsia="Times New Roman" w:hAnsi="Calibri" w:cs="Times New Roman"/>
          <w:i/>
          <w:color w:val="000000"/>
          <w:lang w:eastAsia="en-GB"/>
        </w:rPr>
        <w:t>y of our students take history as their fourth option, only to discover they enjoy and are very good at it, and consequently go onto c</w:t>
      </w:r>
      <w:r>
        <w:rPr>
          <w:rFonts w:ascii="Calibri" w:eastAsia="Times New Roman" w:hAnsi="Calibri" w:cs="Times New Roman"/>
          <w:i/>
          <w:color w:val="000000"/>
          <w:lang w:eastAsia="en-GB"/>
        </w:rPr>
        <w:t xml:space="preserve">ontinue it at A2; </w:t>
      </w:r>
      <w:r w:rsidR="00717C44">
        <w:rPr>
          <w:rFonts w:ascii="Calibri" w:eastAsia="Times New Roman" w:hAnsi="Calibri" w:cs="Times New Roman"/>
          <w:i/>
          <w:color w:val="000000"/>
          <w:lang w:eastAsia="en-GB"/>
        </w:rPr>
        <w:t>i</w:t>
      </w:r>
      <w:r>
        <w:rPr>
          <w:rFonts w:ascii="Calibri" w:eastAsia="Times New Roman" w:hAnsi="Calibri" w:cs="Times New Roman"/>
          <w:i/>
          <w:color w:val="000000"/>
          <w:lang w:eastAsia="en-GB"/>
        </w:rPr>
        <w:t>f AS is sepa</w:t>
      </w:r>
      <w:r w:rsidRPr="00BC6772">
        <w:rPr>
          <w:rFonts w:ascii="Calibri" w:eastAsia="Times New Roman" w:hAnsi="Calibri" w:cs="Times New Roman"/>
          <w:i/>
          <w:color w:val="000000"/>
          <w:lang w:eastAsia="en-GB"/>
        </w:rPr>
        <w:t>rat</w:t>
      </w:r>
      <w:r>
        <w:rPr>
          <w:rFonts w:ascii="Calibri" w:eastAsia="Times New Roman" w:hAnsi="Calibri" w:cs="Times New Roman"/>
          <w:i/>
          <w:color w:val="000000"/>
          <w:lang w:eastAsia="en-GB"/>
        </w:rPr>
        <w:t>ed from A2 this will have a deva</w:t>
      </w:r>
      <w:r w:rsidRPr="00BC6772">
        <w:rPr>
          <w:rFonts w:ascii="Calibri" w:eastAsia="Times New Roman" w:hAnsi="Calibri" w:cs="Times New Roman"/>
          <w:i/>
          <w:color w:val="000000"/>
          <w:lang w:eastAsia="en-GB"/>
        </w:rPr>
        <w:t>stating impact on our take up.</w:t>
      </w:r>
      <w:r w:rsidR="001028C9">
        <w:rPr>
          <w:rFonts w:ascii="Calibri" w:eastAsia="Times New Roman" w:hAnsi="Calibri" w:cs="Times New Roman"/>
          <w:i/>
          <w:color w:val="000000"/>
          <w:lang w:eastAsia="en-GB"/>
        </w:rPr>
        <w:t xml:space="preserve">    </w:t>
      </w:r>
      <w:r w:rsidR="004803B8">
        <w:rPr>
          <w:rFonts w:ascii="Calibri" w:eastAsia="Times New Roman" w:hAnsi="Calibri" w:cs="Times New Roman"/>
          <w:i/>
          <w:color w:val="000000"/>
          <w:lang w:eastAsia="en-GB"/>
        </w:rPr>
        <w:tab/>
        <w:t xml:space="preserve">      </w:t>
      </w:r>
      <w:r w:rsidR="001028C9">
        <w:rPr>
          <w:rFonts w:ascii="Calibri" w:eastAsia="Times New Roman" w:hAnsi="Calibri" w:cs="Times New Roman"/>
          <w:i/>
          <w:color w:val="000000"/>
          <w:lang w:eastAsia="en-GB"/>
        </w:rPr>
        <w:t xml:space="preserve"> </w:t>
      </w:r>
      <w:r w:rsidR="00745748">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(Respondent</w:t>
      </w:r>
      <w:r w:rsidR="00745748">
        <w:rPr>
          <w:rFonts w:ascii="Calibri" w:eastAsia="Times New Roman" w:hAnsi="Calibri" w:cs="Times New Roman"/>
          <w:i/>
          <w:color w:val="000000"/>
          <w:lang w:eastAsia="en-GB"/>
        </w:rPr>
        <w:t xml:space="preserve"> </w:t>
      </w:r>
      <w:r w:rsidR="001028C9">
        <w:rPr>
          <w:rFonts w:ascii="Calibri" w:eastAsia="Times New Roman" w:hAnsi="Calibri" w:cs="Times New Roman"/>
          <w:i/>
          <w:color w:val="000000"/>
          <w:lang w:eastAsia="en-GB"/>
        </w:rPr>
        <w:t>325</w:t>
      </w:r>
      <w:proofErr w:type="gramStart"/>
      <w:r>
        <w:rPr>
          <w:rFonts w:ascii="Calibri" w:eastAsia="Times New Roman" w:hAnsi="Calibri" w:cs="Times New Roman"/>
          <w:i/>
          <w:color w:val="000000"/>
          <w:lang w:eastAsia="en-GB"/>
        </w:rPr>
        <w:t>,  Sixth</w:t>
      </w:r>
      <w:proofErr w:type="gramEnd"/>
      <w:r>
        <w:rPr>
          <w:rFonts w:ascii="Calibri" w:eastAsia="Times New Roman" w:hAnsi="Calibri" w:cs="Times New Roman"/>
          <w:i/>
          <w:color w:val="000000"/>
          <w:lang w:eastAsia="en-GB"/>
        </w:rPr>
        <w:t xml:space="preserve"> form college)</w:t>
      </w:r>
    </w:p>
    <w:p w:rsidR="00B30C80" w:rsidRDefault="001028C9"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br/>
      </w:r>
      <w:r w:rsidR="00317C4D">
        <w:rPr>
          <w:rFonts w:ascii="Calibri" w:eastAsia="Times New Roman" w:hAnsi="Calibri" w:cs="Times New Roman"/>
          <w:bCs/>
          <w:color w:val="000000"/>
          <w:lang w:eastAsia="en-GB"/>
        </w:rPr>
        <w:t>Losing the scope to try a subject out without making a two-year commitment to it was seen to disadvantage many of the less confident students who simply would not be prepared to embark on the course, and was expected to increase the perception of history as a difficult subject that  would not be worth pursuing.</w:t>
      </w:r>
    </w:p>
    <w:p w:rsidR="001028C9" w:rsidRPr="001028C9" w:rsidRDefault="001028C9" w:rsidP="00745748">
      <w:pPr>
        <w:spacing w:after="0"/>
        <w:ind w:left="720" w:right="720"/>
        <w:jc w:val="both"/>
        <w:rPr>
          <w:rFonts w:ascii="Calibri" w:eastAsia="Times New Roman" w:hAnsi="Calibri" w:cs="Times New Roman"/>
          <w:i/>
          <w:color w:val="000000"/>
          <w:lang w:eastAsia="en-GB"/>
        </w:rPr>
      </w:pPr>
      <w:r w:rsidRPr="001028C9">
        <w:rPr>
          <w:rFonts w:ascii="Calibri" w:eastAsia="Times New Roman" w:hAnsi="Calibri" w:cs="Times New Roman"/>
          <w:i/>
          <w:color w:val="000000"/>
          <w:lang w:eastAsia="en-GB"/>
        </w:rPr>
        <w:t>There is a risk that the students in my college will find it more daunting to study such a content-heavy subject without modules. The aim of reducing exam focus sounds laudable - but that would be better achieved by continuous assessment rather than higher stakes exams.</w:t>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ab/>
        <w:t xml:space="preserve">                         </w:t>
      </w:r>
      <w:r w:rsidR="00745748">
        <w:rPr>
          <w:rFonts w:ascii="Calibri" w:eastAsia="Times New Roman" w:hAnsi="Calibri" w:cs="Times New Roman"/>
          <w:i/>
          <w:color w:val="000000"/>
          <w:lang w:eastAsia="en-GB"/>
        </w:rPr>
        <w:t xml:space="preserve">  </w:t>
      </w:r>
      <w:r w:rsidR="004803B8">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 xml:space="preserve">(Respondent 460, Sixth </w:t>
      </w:r>
      <w:proofErr w:type="gramStart"/>
      <w:r>
        <w:rPr>
          <w:rFonts w:ascii="Calibri" w:eastAsia="Times New Roman" w:hAnsi="Calibri" w:cs="Times New Roman"/>
          <w:i/>
          <w:color w:val="000000"/>
          <w:lang w:eastAsia="en-GB"/>
        </w:rPr>
        <w:t>form college</w:t>
      </w:r>
      <w:proofErr w:type="gramEnd"/>
      <w:r>
        <w:rPr>
          <w:rFonts w:ascii="Calibri" w:eastAsia="Times New Roman" w:hAnsi="Calibri" w:cs="Times New Roman"/>
          <w:i/>
          <w:color w:val="000000"/>
          <w:lang w:eastAsia="en-GB"/>
        </w:rPr>
        <w:t>)</w:t>
      </w:r>
    </w:p>
    <w:p w:rsidR="00B30C80" w:rsidRDefault="001028C9" w:rsidP="0074574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br/>
      </w:r>
      <w:r w:rsidR="00B30C80">
        <w:rPr>
          <w:rFonts w:ascii="Calibri" w:eastAsia="Times New Roman" w:hAnsi="Calibri" w:cs="Times New Roman"/>
          <w:bCs/>
          <w:color w:val="000000"/>
          <w:lang w:eastAsia="en-GB"/>
        </w:rPr>
        <w:t xml:space="preserve">The loss of an intermediate stage between GCSE and A level was also deeply regretted for a variety of reasons. Some valued the sense of impetus that it gave to the start of sixth form studies; some welcomed the scope it provided for development through incremental stages, and several were worried about the loss of the formative assessment provided by the exams in Year 12. </w:t>
      </w:r>
    </w:p>
    <w:p w:rsidR="001028C9" w:rsidRPr="001028C9" w:rsidRDefault="001028C9" w:rsidP="00745748">
      <w:pPr>
        <w:spacing w:after="0"/>
        <w:ind w:left="720" w:right="720"/>
        <w:jc w:val="both"/>
        <w:rPr>
          <w:rFonts w:ascii="Calibri" w:eastAsia="Times New Roman" w:hAnsi="Calibri" w:cs="Times New Roman"/>
          <w:i/>
          <w:color w:val="000000"/>
          <w:lang w:eastAsia="en-GB"/>
        </w:rPr>
      </w:pPr>
      <w:r w:rsidRPr="001028C9">
        <w:rPr>
          <w:rFonts w:ascii="Calibri" w:eastAsia="Times New Roman" w:hAnsi="Calibri" w:cs="Times New Roman"/>
          <w:i/>
          <w:color w:val="000000"/>
          <w:lang w:eastAsia="en-GB"/>
        </w:rPr>
        <w:t xml:space="preserve">Not sure why we are moving to summative assessment after 2 years when the universities have modular assessments every year. </w:t>
      </w:r>
      <w:proofErr w:type="gramStart"/>
      <w:r w:rsidRPr="001028C9">
        <w:rPr>
          <w:rFonts w:ascii="Calibri" w:eastAsia="Times New Roman" w:hAnsi="Calibri" w:cs="Times New Roman"/>
          <w:i/>
          <w:color w:val="000000"/>
          <w:lang w:eastAsia="en-GB"/>
        </w:rPr>
        <w:t>Havin</w:t>
      </w:r>
      <w:r>
        <w:rPr>
          <w:rFonts w:ascii="Calibri" w:eastAsia="Times New Roman" w:hAnsi="Calibri" w:cs="Times New Roman"/>
          <w:i/>
          <w:color w:val="000000"/>
          <w:lang w:eastAsia="en-GB"/>
        </w:rPr>
        <w:t>g AS examinations are motivational</w:t>
      </w:r>
      <w:r w:rsidRPr="001028C9">
        <w:rPr>
          <w:rFonts w:ascii="Calibri" w:eastAsia="Times New Roman" w:hAnsi="Calibri" w:cs="Times New Roman"/>
          <w:i/>
          <w:color w:val="000000"/>
          <w:lang w:eastAsia="en-GB"/>
        </w:rPr>
        <w:t xml:space="preserve"> for students and give both teachers and students feedback on progress.</w:t>
      </w:r>
      <w:proofErr w:type="gramEnd"/>
      <w:r w:rsidRPr="001028C9">
        <w:rPr>
          <w:rFonts w:ascii="Calibri" w:eastAsia="Times New Roman" w:hAnsi="Calibri" w:cs="Times New Roman"/>
          <w:i/>
          <w:color w:val="000000"/>
          <w:lang w:eastAsia="en-GB"/>
        </w:rPr>
        <w:t xml:space="preserve"> How will UCAS forms be filled in?</w:t>
      </w:r>
      <w:r>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ab/>
      </w:r>
      <w:r>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ab/>
      </w:r>
      <w:r w:rsidR="004803B8">
        <w:rPr>
          <w:rFonts w:ascii="Calibri" w:eastAsia="Times New Roman" w:hAnsi="Calibri" w:cs="Times New Roman"/>
          <w:i/>
          <w:color w:val="000000"/>
          <w:lang w:eastAsia="en-GB"/>
        </w:rPr>
        <w:tab/>
      </w:r>
      <w:r w:rsidR="00745748">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 xml:space="preserve">(Respondent 327, </w:t>
      </w:r>
      <w:proofErr w:type="gramStart"/>
      <w:r>
        <w:rPr>
          <w:rFonts w:ascii="Calibri" w:eastAsia="Times New Roman" w:hAnsi="Calibri" w:cs="Times New Roman"/>
          <w:i/>
          <w:color w:val="000000"/>
          <w:lang w:eastAsia="en-GB"/>
        </w:rPr>
        <w:t>New</w:t>
      </w:r>
      <w:proofErr w:type="gramEnd"/>
      <w:r>
        <w:rPr>
          <w:rFonts w:ascii="Calibri" w:eastAsia="Times New Roman" w:hAnsi="Calibri" w:cs="Times New Roman"/>
          <w:i/>
          <w:color w:val="000000"/>
          <w:lang w:eastAsia="en-GB"/>
        </w:rPr>
        <w:t xml:space="preserve"> academy)</w:t>
      </w:r>
    </w:p>
    <w:p w:rsidR="00B30C80" w:rsidRPr="00D45B62" w:rsidRDefault="00B30C80" w:rsidP="00745748">
      <w:pPr>
        <w:ind w:right="720"/>
        <w:jc w:val="both"/>
        <w:rPr>
          <w:rFonts w:ascii="Calibri" w:eastAsia="Times New Roman" w:hAnsi="Calibri" w:cs="Times New Roman"/>
          <w:b/>
          <w:bCs/>
          <w:color w:val="000000"/>
          <w:sz w:val="32"/>
          <w:szCs w:val="32"/>
          <w:lang w:eastAsia="en-GB"/>
        </w:rPr>
      </w:pPr>
    </w:p>
    <w:p w:rsidR="00F37B1D" w:rsidRDefault="00F37B1D" w:rsidP="00745748">
      <w:pPr>
        <w:jc w:val="both"/>
        <w:rPr>
          <w:rFonts w:ascii="Calibri" w:eastAsia="Times New Roman" w:hAnsi="Calibri" w:cs="Times New Roman"/>
          <w:b/>
          <w:bCs/>
          <w:sz w:val="32"/>
          <w:szCs w:val="32"/>
          <w:lang w:eastAsia="en-GB"/>
        </w:rPr>
      </w:pPr>
      <w:r>
        <w:rPr>
          <w:rFonts w:ascii="Calibri" w:eastAsia="Times New Roman" w:hAnsi="Calibri" w:cs="Times New Roman"/>
          <w:b/>
          <w:bCs/>
          <w:sz w:val="32"/>
          <w:szCs w:val="32"/>
          <w:lang w:eastAsia="en-GB"/>
        </w:rPr>
        <w:br w:type="page"/>
      </w:r>
    </w:p>
    <w:p w:rsidR="00D45B62" w:rsidRPr="00601D07" w:rsidRDefault="00E46D78" w:rsidP="004E4546">
      <w:pPr>
        <w:ind w:right="720"/>
        <w:rPr>
          <w:rFonts w:ascii="Calibri" w:eastAsia="Times New Roman" w:hAnsi="Calibri" w:cs="Times New Roman"/>
          <w:b/>
          <w:bCs/>
          <w:sz w:val="32"/>
          <w:szCs w:val="32"/>
          <w:lang w:eastAsia="en-GB"/>
        </w:rPr>
      </w:pPr>
      <w:r>
        <w:rPr>
          <w:rFonts w:ascii="Calibri" w:eastAsia="Times New Roman" w:hAnsi="Calibri" w:cs="Times New Roman"/>
          <w:b/>
          <w:bCs/>
          <w:sz w:val="32"/>
          <w:szCs w:val="32"/>
          <w:lang w:eastAsia="en-GB"/>
        </w:rPr>
        <w:lastRenderedPageBreak/>
        <w:t xml:space="preserve">6. </w:t>
      </w:r>
      <w:r w:rsidR="00D45B62" w:rsidRPr="00601D07">
        <w:rPr>
          <w:rFonts w:ascii="Calibri" w:eastAsia="Times New Roman" w:hAnsi="Calibri" w:cs="Times New Roman"/>
          <w:b/>
          <w:bCs/>
          <w:sz w:val="32"/>
          <w:szCs w:val="32"/>
          <w:lang w:eastAsia="en-GB"/>
        </w:rPr>
        <w:t>Teachers’ concerns</w:t>
      </w:r>
    </w:p>
    <w:p w:rsidR="004C2E70" w:rsidRPr="00601D07" w:rsidRDefault="004C2E70" w:rsidP="004E4546">
      <w:pPr>
        <w:ind w:right="720"/>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Curriculum change</w:t>
      </w:r>
    </w:p>
    <w:p w:rsidR="00FA6EB7" w:rsidRPr="00E46D78" w:rsidRDefault="004C2E70" w:rsidP="00745748">
      <w:pPr>
        <w:ind w:right="720"/>
        <w:jc w:val="both"/>
        <w:rPr>
          <w:rFonts w:ascii="Calibri" w:eastAsia="Times New Roman" w:hAnsi="Calibri" w:cs="Times New Roman"/>
          <w:bCs/>
          <w:lang w:eastAsia="en-GB"/>
        </w:rPr>
      </w:pPr>
      <w:r w:rsidRPr="00E46D78">
        <w:rPr>
          <w:rFonts w:ascii="Calibri" w:eastAsia="Times New Roman" w:hAnsi="Calibri" w:cs="Times New Roman"/>
          <w:bCs/>
          <w:lang w:eastAsia="en-GB"/>
        </w:rPr>
        <w:t xml:space="preserve">A final section of the survey </w:t>
      </w:r>
      <w:r w:rsidR="004C425A" w:rsidRPr="00E46D78">
        <w:rPr>
          <w:rFonts w:ascii="Calibri" w:eastAsia="Times New Roman" w:hAnsi="Calibri" w:cs="Times New Roman"/>
          <w:bCs/>
          <w:lang w:eastAsia="en-GB"/>
        </w:rPr>
        <w:t xml:space="preserve">asked teachers about a number of issues raised by HA members as matters of concern in their school, in order to explore the extent to which these problems may be shared across schools in England. For each issue, respondents </w:t>
      </w:r>
      <w:r w:rsidR="0091727C" w:rsidRPr="00E46D78">
        <w:rPr>
          <w:rFonts w:ascii="Calibri" w:eastAsia="Times New Roman" w:hAnsi="Calibri" w:cs="Times New Roman"/>
          <w:bCs/>
          <w:lang w:eastAsia="en-GB"/>
        </w:rPr>
        <w:t>we</w:t>
      </w:r>
      <w:r w:rsidR="004C425A" w:rsidRPr="00E46D78">
        <w:rPr>
          <w:rFonts w:ascii="Calibri" w:eastAsia="Times New Roman" w:hAnsi="Calibri" w:cs="Times New Roman"/>
          <w:bCs/>
          <w:lang w:eastAsia="en-GB"/>
        </w:rPr>
        <w:t>re a</w:t>
      </w:r>
      <w:r w:rsidR="0091727C" w:rsidRPr="00E46D78">
        <w:rPr>
          <w:rFonts w:ascii="Calibri" w:eastAsia="Times New Roman" w:hAnsi="Calibri" w:cs="Times New Roman"/>
          <w:bCs/>
          <w:lang w:eastAsia="en-GB"/>
        </w:rPr>
        <w:t>sked to note whether the issue wa</w:t>
      </w:r>
      <w:r w:rsidR="004C425A" w:rsidRPr="00E46D78">
        <w:rPr>
          <w:rFonts w:ascii="Calibri" w:eastAsia="Times New Roman" w:hAnsi="Calibri" w:cs="Times New Roman"/>
          <w:bCs/>
          <w:lang w:eastAsia="en-GB"/>
        </w:rPr>
        <w:t>s a matter of concern to them, and if so, whether they regard</w:t>
      </w:r>
      <w:r w:rsidR="0091727C" w:rsidRPr="00E46D78">
        <w:rPr>
          <w:rFonts w:ascii="Calibri" w:eastAsia="Times New Roman" w:hAnsi="Calibri" w:cs="Times New Roman"/>
          <w:bCs/>
          <w:lang w:eastAsia="en-GB"/>
        </w:rPr>
        <w:t>ed</w:t>
      </w:r>
      <w:r w:rsidR="004C425A" w:rsidRPr="00E46D78">
        <w:rPr>
          <w:rFonts w:ascii="Calibri" w:eastAsia="Times New Roman" w:hAnsi="Calibri" w:cs="Times New Roman"/>
          <w:bCs/>
          <w:lang w:eastAsia="en-GB"/>
        </w:rPr>
        <w:t xml:space="preserve"> it as a ‘serious’ issue</w:t>
      </w:r>
      <w:r w:rsidR="0091727C" w:rsidRPr="00E46D78">
        <w:rPr>
          <w:rFonts w:ascii="Calibri" w:eastAsia="Times New Roman" w:hAnsi="Calibri" w:cs="Times New Roman"/>
          <w:bCs/>
          <w:lang w:eastAsia="en-GB"/>
        </w:rPr>
        <w:t>. Respondents we</w:t>
      </w:r>
      <w:r w:rsidR="004C425A" w:rsidRPr="00E46D78">
        <w:rPr>
          <w:rFonts w:ascii="Calibri" w:eastAsia="Times New Roman" w:hAnsi="Calibri" w:cs="Times New Roman"/>
          <w:bCs/>
          <w:lang w:eastAsia="en-GB"/>
        </w:rPr>
        <w:t xml:space="preserve">re also asked whether </w:t>
      </w:r>
      <w:r w:rsidR="0091727C" w:rsidRPr="00E46D78">
        <w:rPr>
          <w:rFonts w:ascii="Calibri" w:eastAsia="Times New Roman" w:hAnsi="Calibri" w:cs="Times New Roman"/>
          <w:bCs/>
          <w:lang w:eastAsia="en-GB"/>
        </w:rPr>
        <w:t>they think that issues which did</w:t>
      </w:r>
      <w:r w:rsidR="004C425A" w:rsidRPr="00E46D78">
        <w:rPr>
          <w:rFonts w:ascii="Calibri" w:eastAsia="Times New Roman" w:hAnsi="Calibri" w:cs="Times New Roman"/>
          <w:bCs/>
          <w:lang w:eastAsia="en-GB"/>
        </w:rPr>
        <w:t xml:space="preserve"> not worry them at </w:t>
      </w:r>
      <w:r w:rsidR="0091727C" w:rsidRPr="00E46D78">
        <w:rPr>
          <w:rFonts w:ascii="Calibri" w:eastAsia="Times New Roman" w:hAnsi="Calibri" w:cs="Times New Roman"/>
          <w:bCs/>
          <w:lang w:eastAsia="en-GB"/>
        </w:rPr>
        <w:t xml:space="preserve">the time might </w:t>
      </w:r>
      <w:r w:rsidR="004C425A" w:rsidRPr="00E46D78">
        <w:rPr>
          <w:rFonts w:ascii="Calibri" w:eastAsia="Times New Roman" w:hAnsi="Calibri" w:cs="Times New Roman"/>
          <w:bCs/>
          <w:lang w:eastAsia="en-GB"/>
        </w:rPr>
        <w:t>arise as con</w:t>
      </w:r>
      <w:r w:rsidR="00F37B1D">
        <w:rPr>
          <w:rFonts w:ascii="Calibri" w:eastAsia="Times New Roman" w:hAnsi="Calibri" w:cs="Times New Roman"/>
          <w:bCs/>
          <w:lang w:eastAsia="en-GB"/>
        </w:rPr>
        <w:t>cerns in the future. As T</w:t>
      </w:r>
      <w:r w:rsidR="008C12B1">
        <w:rPr>
          <w:rFonts w:ascii="Calibri" w:eastAsia="Times New Roman" w:hAnsi="Calibri" w:cs="Times New Roman"/>
          <w:bCs/>
          <w:lang w:eastAsia="en-GB"/>
        </w:rPr>
        <w:t xml:space="preserve">able </w:t>
      </w:r>
      <w:r w:rsidR="00A511AD">
        <w:rPr>
          <w:rFonts w:ascii="Calibri" w:eastAsia="Times New Roman" w:hAnsi="Calibri" w:cs="Times New Roman"/>
          <w:bCs/>
          <w:lang w:eastAsia="en-GB"/>
        </w:rPr>
        <w:t>7</w:t>
      </w:r>
      <w:r w:rsidR="004C425A" w:rsidRPr="00E46D78">
        <w:rPr>
          <w:rFonts w:ascii="Calibri" w:eastAsia="Times New Roman" w:hAnsi="Calibri" w:cs="Times New Roman"/>
          <w:bCs/>
          <w:lang w:eastAsia="en-GB"/>
        </w:rPr>
        <w:t xml:space="preserve"> illustrates, the most pressing concerns currently experienced or feared by teachers relate</w:t>
      </w:r>
      <w:r w:rsidR="0091727C" w:rsidRPr="00E46D78">
        <w:rPr>
          <w:rFonts w:ascii="Calibri" w:eastAsia="Times New Roman" w:hAnsi="Calibri" w:cs="Times New Roman"/>
          <w:bCs/>
          <w:lang w:eastAsia="en-GB"/>
        </w:rPr>
        <w:t>d</w:t>
      </w:r>
      <w:r w:rsidR="004C425A" w:rsidRPr="00E46D78">
        <w:rPr>
          <w:rFonts w:ascii="Calibri" w:eastAsia="Times New Roman" w:hAnsi="Calibri" w:cs="Times New Roman"/>
          <w:bCs/>
          <w:lang w:eastAsia="en-GB"/>
        </w:rPr>
        <w:t xml:space="preserve"> to the process of curriculum change. </w:t>
      </w:r>
    </w:p>
    <w:p w:rsidR="00DD165E" w:rsidRDefault="00A511AD" w:rsidP="00745748">
      <w:pPr>
        <w:ind w:right="720"/>
        <w:jc w:val="both"/>
        <w:rPr>
          <w:rFonts w:ascii="Calibri" w:eastAsia="Times New Roman" w:hAnsi="Calibri" w:cs="Times New Roman"/>
          <w:bCs/>
          <w:i/>
          <w:lang w:eastAsia="en-GB"/>
        </w:rPr>
      </w:pPr>
      <w:r>
        <w:rPr>
          <w:rFonts w:ascii="Calibri" w:eastAsia="Times New Roman" w:hAnsi="Calibri" w:cs="Times New Roman"/>
          <w:bCs/>
          <w:i/>
          <w:lang w:eastAsia="en-GB"/>
        </w:rPr>
        <w:t>Table 7</w:t>
      </w:r>
      <w:r w:rsidR="00DD165E" w:rsidRPr="00E46D78">
        <w:rPr>
          <w:rFonts w:ascii="Calibri" w:eastAsia="Times New Roman" w:hAnsi="Calibri" w:cs="Times New Roman"/>
          <w:bCs/>
          <w:i/>
          <w:lang w:eastAsia="en-GB"/>
        </w:rPr>
        <w:t>: 2013 The proportion of respondents for whom particular issues are a matter of concern</w:t>
      </w:r>
      <w:r w:rsidR="0041085B" w:rsidRPr="00E46D78">
        <w:rPr>
          <w:rFonts w:ascii="Calibri" w:eastAsia="Times New Roman" w:hAnsi="Calibri" w:cs="Times New Roman"/>
          <w:bCs/>
          <w:i/>
          <w:lang w:eastAsia="en-GB"/>
        </w:rPr>
        <w:t xml:space="preserve"> ranked in order of severity</w:t>
      </w:r>
    </w:p>
    <w:tbl>
      <w:tblPr>
        <w:tblStyle w:val="TableGrid"/>
        <w:tblW w:w="0" w:type="auto"/>
        <w:tblLayout w:type="fixed"/>
        <w:tblLook w:val="04A0"/>
      </w:tblPr>
      <w:tblGrid>
        <w:gridCol w:w="3652"/>
        <w:gridCol w:w="1276"/>
        <w:gridCol w:w="992"/>
        <w:gridCol w:w="1134"/>
        <w:gridCol w:w="1066"/>
      </w:tblGrid>
      <w:tr w:rsidR="00DD165E" w:rsidRPr="00601D07" w:rsidTr="00745748">
        <w:tc>
          <w:tcPr>
            <w:tcW w:w="3652" w:type="dxa"/>
          </w:tcPr>
          <w:p w:rsidR="00DD165E" w:rsidRPr="00601D07" w:rsidRDefault="00DD165E" w:rsidP="00745748">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Possible issue of concern</w:t>
            </w:r>
          </w:p>
        </w:tc>
        <w:tc>
          <w:tcPr>
            <w:tcW w:w="2268" w:type="dxa"/>
            <w:gridSpan w:val="2"/>
          </w:tcPr>
          <w:p w:rsidR="00DD165E" w:rsidRPr="00601D07" w:rsidRDefault="00DD165E" w:rsidP="00745748">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 xml:space="preserve">Matter of current concern (including those for whom this is a serious concern) </w:t>
            </w:r>
          </w:p>
        </w:tc>
        <w:tc>
          <w:tcPr>
            <w:tcW w:w="1134" w:type="dxa"/>
          </w:tcPr>
          <w:p w:rsidR="00DD165E" w:rsidRPr="00601D07" w:rsidRDefault="00DD165E" w:rsidP="00745748">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May become a concern</w:t>
            </w:r>
          </w:p>
        </w:tc>
        <w:tc>
          <w:tcPr>
            <w:tcW w:w="1066" w:type="dxa"/>
          </w:tcPr>
          <w:p w:rsidR="00DD165E" w:rsidRPr="00601D07" w:rsidRDefault="00DD165E" w:rsidP="00745748">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Not a matter of concern</w:t>
            </w:r>
          </w:p>
        </w:tc>
      </w:tr>
      <w:tr w:rsidR="0041085B" w:rsidRPr="00601D07" w:rsidTr="00745748">
        <w:tc>
          <w:tcPr>
            <w:tcW w:w="3652"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Insufficient attention being paid to history teachers’ views in developing new curriculum proposals</w:t>
            </w:r>
          </w:p>
        </w:tc>
        <w:tc>
          <w:tcPr>
            <w:tcW w:w="1276" w:type="dxa"/>
            <w:tcBorders>
              <w:right w:val="nil"/>
            </w:tcBorders>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95.9%</w:t>
            </w:r>
          </w:p>
        </w:tc>
        <w:tc>
          <w:tcPr>
            <w:tcW w:w="992" w:type="dxa"/>
            <w:tcBorders>
              <w:left w:val="nil"/>
            </w:tcBorders>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(8.3%)</w:t>
            </w:r>
          </w:p>
        </w:tc>
        <w:tc>
          <w:tcPr>
            <w:tcW w:w="1134"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2.8%</w:t>
            </w:r>
          </w:p>
        </w:tc>
        <w:tc>
          <w:tcPr>
            <w:tcW w:w="1066"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1.3%</w:t>
            </w:r>
          </w:p>
        </w:tc>
      </w:tr>
      <w:tr w:rsidR="0041085B" w:rsidRPr="00601D07" w:rsidTr="00745748">
        <w:tc>
          <w:tcPr>
            <w:tcW w:w="3652"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Inappropriate nature of the proposed curriculum changes</w:t>
            </w:r>
          </w:p>
        </w:tc>
        <w:tc>
          <w:tcPr>
            <w:tcW w:w="1276" w:type="dxa"/>
            <w:tcBorders>
              <w:right w:val="nil"/>
            </w:tcBorders>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94.5%</w:t>
            </w:r>
          </w:p>
        </w:tc>
        <w:tc>
          <w:tcPr>
            <w:tcW w:w="992" w:type="dxa"/>
            <w:tcBorders>
              <w:left w:val="nil"/>
            </w:tcBorders>
          </w:tcPr>
          <w:p w:rsidR="00DD165E"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41085B" w:rsidRPr="00601D07">
              <w:rPr>
                <w:rFonts w:ascii="Calibri" w:eastAsia="Times New Roman" w:hAnsi="Calibri" w:cs="Times New Roman"/>
                <w:bCs/>
                <w:sz w:val="24"/>
                <w:szCs w:val="24"/>
                <w:lang w:eastAsia="en-GB"/>
              </w:rPr>
              <w:t>4.2%</w:t>
            </w:r>
            <w:r>
              <w:rPr>
                <w:rFonts w:ascii="Calibri" w:eastAsia="Times New Roman" w:hAnsi="Calibri" w:cs="Times New Roman"/>
                <w:bCs/>
                <w:sz w:val="24"/>
                <w:szCs w:val="24"/>
                <w:lang w:eastAsia="en-GB"/>
              </w:rPr>
              <w:t>)</w:t>
            </w:r>
          </w:p>
        </w:tc>
        <w:tc>
          <w:tcPr>
            <w:tcW w:w="1134"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4.2%</w:t>
            </w:r>
          </w:p>
        </w:tc>
        <w:tc>
          <w:tcPr>
            <w:tcW w:w="1066"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1,3%</w:t>
            </w:r>
          </w:p>
        </w:tc>
      </w:tr>
      <w:tr w:rsidR="0041085B" w:rsidRPr="00601D07" w:rsidTr="00745748">
        <w:tc>
          <w:tcPr>
            <w:tcW w:w="3652"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Lack of funding for new teaching resources to implement proposed curriculum changes</w:t>
            </w:r>
          </w:p>
        </w:tc>
        <w:tc>
          <w:tcPr>
            <w:tcW w:w="1276" w:type="dxa"/>
            <w:tcBorders>
              <w:right w:val="nil"/>
            </w:tcBorders>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83.2%</w:t>
            </w:r>
          </w:p>
        </w:tc>
        <w:tc>
          <w:tcPr>
            <w:tcW w:w="992" w:type="dxa"/>
            <w:tcBorders>
              <w:left w:val="nil"/>
            </w:tcBorders>
          </w:tcPr>
          <w:p w:rsidR="00DD165E"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41085B" w:rsidRPr="00601D07">
              <w:rPr>
                <w:rFonts w:ascii="Calibri" w:eastAsia="Times New Roman" w:hAnsi="Calibri" w:cs="Times New Roman"/>
                <w:bCs/>
                <w:sz w:val="24"/>
                <w:szCs w:val="24"/>
                <w:lang w:eastAsia="en-GB"/>
              </w:rPr>
              <w:t>19.1%</w:t>
            </w:r>
            <w:r>
              <w:rPr>
                <w:rFonts w:ascii="Calibri" w:eastAsia="Times New Roman" w:hAnsi="Calibri" w:cs="Times New Roman"/>
                <w:bCs/>
                <w:sz w:val="24"/>
                <w:szCs w:val="24"/>
                <w:lang w:eastAsia="en-GB"/>
              </w:rPr>
              <w:t>)</w:t>
            </w:r>
          </w:p>
        </w:tc>
        <w:tc>
          <w:tcPr>
            <w:tcW w:w="1134"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14.6%</w:t>
            </w:r>
          </w:p>
        </w:tc>
        <w:tc>
          <w:tcPr>
            <w:tcW w:w="1066" w:type="dxa"/>
          </w:tcPr>
          <w:p w:rsidR="00DD165E"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2.3%</w:t>
            </w:r>
          </w:p>
        </w:tc>
      </w:tr>
      <w:tr w:rsidR="0041085B" w:rsidRPr="00601D07" w:rsidTr="00745748">
        <w:tc>
          <w:tcPr>
            <w:tcW w:w="3652" w:type="dxa"/>
          </w:tcPr>
          <w:p w:rsidR="0041085B"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Insufficient time for publishers to produce new resources in response to the proposed curriculum change</w:t>
            </w:r>
          </w:p>
        </w:tc>
        <w:tc>
          <w:tcPr>
            <w:tcW w:w="1276" w:type="dxa"/>
            <w:tcBorders>
              <w:right w:val="nil"/>
            </w:tcBorders>
          </w:tcPr>
          <w:p w:rsidR="0041085B"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82.8%</w:t>
            </w:r>
          </w:p>
        </w:tc>
        <w:tc>
          <w:tcPr>
            <w:tcW w:w="992" w:type="dxa"/>
            <w:tcBorders>
              <w:left w:val="nil"/>
            </w:tcBorders>
          </w:tcPr>
          <w:p w:rsidR="0041085B"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41085B" w:rsidRPr="00601D07">
              <w:rPr>
                <w:rFonts w:ascii="Calibri" w:eastAsia="Times New Roman" w:hAnsi="Calibri" w:cs="Times New Roman"/>
                <w:bCs/>
                <w:sz w:val="24"/>
                <w:szCs w:val="24"/>
                <w:lang w:eastAsia="en-GB"/>
              </w:rPr>
              <w:t>23.8%</w:t>
            </w:r>
            <w:r>
              <w:rPr>
                <w:rFonts w:ascii="Calibri" w:eastAsia="Times New Roman" w:hAnsi="Calibri" w:cs="Times New Roman"/>
                <w:bCs/>
                <w:sz w:val="24"/>
                <w:szCs w:val="24"/>
                <w:lang w:eastAsia="en-GB"/>
              </w:rPr>
              <w:t>)</w:t>
            </w:r>
          </w:p>
        </w:tc>
        <w:tc>
          <w:tcPr>
            <w:tcW w:w="1134" w:type="dxa"/>
          </w:tcPr>
          <w:p w:rsidR="0041085B"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15.9%</w:t>
            </w:r>
          </w:p>
        </w:tc>
        <w:tc>
          <w:tcPr>
            <w:tcW w:w="1066" w:type="dxa"/>
          </w:tcPr>
          <w:p w:rsidR="0041085B"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1.3%</w:t>
            </w:r>
          </w:p>
        </w:tc>
      </w:tr>
      <w:tr w:rsidR="0041085B" w:rsidRPr="00601D07" w:rsidTr="00745748">
        <w:tc>
          <w:tcPr>
            <w:tcW w:w="3652" w:type="dxa"/>
          </w:tcPr>
          <w:p w:rsidR="0041085B" w:rsidRPr="00601D07" w:rsidRDefault="0041085B"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Lack of preparation time for the implementation of proposed curriculum changes</w:t>
            </w:r>
          </w:p>
        </w:tc>
        <w:tc>
          <w:tcPr>
            <w:tcW w:w="1276" w:type="dxa"/>
            <w:tcBorders>
              <w:right w:val="nil"/>
            </w:tcBorders>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81.4%</w:t>
            </w:r>
          </w:p>
        </w:tc>
        <w:tc>
          <w:tcPr>
            <w:tcW w:w="992" w:type="dxa"/>
            <w:tcBorders>
              <w:left w:val="nil"/>
            </w:tcBorders>
          </w:tcPr>
          <w:p w:rsidR="0041085B"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8035D8" w:rsidRPr="00601D07">
              <w:rPr>
                <w:rFonts w:ascii="Calibri" w:eastAsia="Times New Roman" w:hAnsi="Calibri" w:cs="Times New Roman"/>
                <w:bCs/>
                <w:sz w:val="24"/>
                <w:szCs w:val="24"/>
                <w:lang w:eastAsia="en-GB"/>
              </w:rPr>
              <w:t>18.2%</w:t>
            </w:r>
            <w:r>
              <w:rPr>
                <w:rFonts w:ascii="Calibri" w:eastAsia="Times New Roman" w:hAnsi="Calibri" w:cs="Times New Roman"/>
                <w:bCs/>
                <w:sz w:val="24"/>
                <w:szCs w:val="24"/>
                <w:lang w:eastAsia="en-GB"/>
              </w:rPr>
              <w:t>)</w:t>
            </w:r>
          </w:p>
        </w:tc>
        <w:tc>
          <w:tcPr>
            <w:tcW w:w="1134"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16.5%</w:t>
            </w:r>
          </w:p>
        </w:tc>
        <w:tc>
          <w:tcPr>
            <w:tcW w:w="1066"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2.1%</w:t>
            </w:r>
          </w:p>
        </w:tc>
      </w:tr>
      <w:tr w:rsidR="0041085B" w:rsidRPr="00601D07" w:rsidTr="00745748">
        <w:tc>
          <w:tcPr>
            <w:tcW w:w="3652"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Lack of opportunity to attend subject-based CPD</w:t>
            </w:r>
          </w:p>
        </w:tc>
        <w:tc>
          <w:tcPr>
            <w:tcW w:w="1276" w:type="dxa"/>
            <w:tcBorders>
              <w:right w:val="nil"/>
            </w:tcBorders>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49.1%</w:t>
            </w:r>
          </w:p>
        </w:tc>
        <w:tc>
          <w:tcPr>
            <w:tcW w:w="992" w:type="dxa"/>
            <w:tcBorders>
              <w:left w:val="nil"/>
            </w:tcBorders>
          </w:tcPr>
          <w:p w:rsidR="0041085B"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8035D8" w:rsidRPr="00601D07">
              <w:rPr>
                <w:rFonts w:ascii="Calibri" w:eastAsia="Times New Roman" w:hAnsi="Calibri" w:cs="Times New Roman"/>
                <w:bCs/>
                <w:sz w:val="24"/>
                <w:szCs w:val="24"/>
                <w:lang w:eastAsia="en-GB"/>
              </w:rPr>
              <w:t>25.3%</w:t>
            </w:r>
            <w:r>
              <w:rPr>
                <w:rFonts w:ascii="Calibri" w:eastAsia="Times New Roman" w:hAnsi="Calibri" w:cs="Times New Roman"/>
                <w:bCs/>
                <w:sz w:val="24"/>
                <w:szCs w:val="24"/>
                <w:lang w:eastAsia="en-GB"/>
              </w:rPr>
              <w:t>)</w:t>
            </w:r>
          </w:p>
        </w:tc>
        <w:tc>
          <w:tcPr>
            <w:tcW w:w="1134"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28.4%</w:t>
            </w:r>
          </w:p>
        </w:tc>
        <w:tc>
          <w:tcPr>
            <w:tcW w:w="1066"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22.5%</w:t>
            </w:r>
          </w:p>
        </w:tc>
      </w:tr>
      <w:tr w:rsidR="0041085B" w:rsidRPr="00601D07" w:rsidTr="00745748">
        <w:tc>
          <w:tcPr>
            <w:tcW w:w="3652"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Lack of provision of subject-based CPD</w:t>
            </w:r>
          </w:p>
        </w:tc>
        <w:tc>
          <w:tcPr>
            <w:tcW w:w="1276" w:type="dxa"/>
            <w:tcBorders>
              <w:right w:val="nil"/>
            </w:tcBorders>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48.2%</w:t>
            </w:r>
          </w:p>
        </w:tc>
        <w:tc>
          <w:tcPr>
            <w:tcW w:w="992" w:type="dxa"/>
            <w:tcBorders>
              <w:left w:val="nil"/>
            </w:tcBorders>
          </w:tcPr>
          <w:p w:rsidR="0041085B"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8035D8" w:rsidRPr="00601D07">
              <w:rPr>
                <w:rFonts w:ascii="Calibri" w:eastAsia="Times New Roman" w:hAnsi="Calibri" w:cs="Times New Roman"/>
                <w:bCs/>
                <w:sz w:val="24"/>
                <w:szCs w:val="24"/>
                <w:lang w:eastAsia="en-GB"/>
              </w:rPr>
              <w:t>27.9%</w:t>
            </w:r>
            <w:r>
              <w:rPr>
                <w:rFonts w:ascii="Calibri" w:eastAsia="Times New Roman" w:hAnsi="Calibri" w:cs="Times New Roman"/>
                <w:bCs/>
                <w:sz w:val="24"/>
                <w:szCs w:val="24"/>
                <w:lang w:eastAsia="en-GB"/>
              </w:rPr>
              <w:t>)</w:t>
            </w:r>
          </w:p>
        </w:tc>
        <w:tc>
          <w:tcPr>
            <w:tcW w:w="1134"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30.2%</w:t>
            </w:r>
          </w:p>
        </w:tc>
        <w:tc>
          <w:tcPr>
            <w:tcW w:w="1066" w:type="dxa"/>
          </w:tcPr>
          <w:p w:rsidR="0041085B"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21.7%</w:t>
            </w:r>
          </w:p>
        </w:tc>
      </w:tr>
      <w:tr w:rsidR="008035D8" w:rsidRPr="00601D07" w:rsidTr="00745748">
        <w:tc>
          <w:tcPr>
            <w:tcW w:w="3652" w:type="dxa"/>
          </w:tcPr>
          <w:p w:rsidR="008035D8"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Impact of ‘rarely cover’ on learning beyond the classroom</w:t>
            </w:r>
          </w:p>
        </w:tc>
        <w:tc>
          <w:tcPr>
            <w:tcW w:w="1276" w:type="dxa"/>
            <w:tcBorders>
              <w:right w:val="nil"/>
            </w:tcBorders>
          </w:tcPr>
          <w:p w:rsidR="008035D8"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40.1%</w:t>
            </w:r>
          </w:p>
        </w:tc>
        <w:tc>
          <w:tcPr>
            <w:tcW w:w="992" w:type="dxa"/>
            <w:tcBorders>
              <w:left w:val="nil"/>
            </w:tcBorders>
          </w:tcPr>
          <w:p w:rsidR="008035D8"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8035D8" w:rsidRPr="00601D07">
              <w:rPr>
                <w:rFonts w:ascii="Calibri" w:eastAsia="Times New Roman" w:hAnsi="Calibri" w:cs="Times New Roman"/>
                <w:bCs/>
                <w:sz w:val="24"/>
                <w:szCs w:val="24"/>
                <w:lang w:eastAsia="en-GB"/>
              </w:rPr>
              <w:t>22.1%</w:t>
            </w:r>
            <w:r>
              <w:rPr>
                <w:rFonts w:ascii="Calibri" w:eastAsia="Times New Roman" w:hAnsi="Calibri" w:cs="Times New Roman"/>
                <w:bCs/>
                <w:sz w:val="24"/>
                <w:szCs w:val="24"/>
                <w:lang w:eastAsia="en-GB"/>
              </w:rPr>
              <w:t>)</w:t>
            </w:r>
          </w:p>
        </w:tc>
        <w:tc>
          <w:tcPr>
            <w:tcW w:w="1134" w:type="dxa"/>
          </w:tcPr>
          <w:p w:rsidR="008035D8"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28.9%</w:t>
            </w:r>
          </w:p>
        </w:tc>
        <w:tc>
          <w:tcPr>
            <w:tcW w:w="1066" w:type="dxa"/>
          </w:tcPr>
          <w:p w:rsidR="008035D8" w:rsidRPr="00601D07" w:rsidRDefault="008035D8" w:rsidP="00745748">
            <w:pPr>
              <w:rPr>
                <w:rFonts w:ascii="Calibri" w:eastAsia="Times New Roman" w:hAnsi="Calibri" w:cs="Times New Roman"/>
                <w:bCs/>
                <w:sz w:val="24"/>
                <w:szCs w:val="24"/>
                <w:lang w:eastAsia="en-GB"/>
              </w:rPr>
            </w:pPr>
            <w:r w:rsidRPr="00601D07">
              <w:rPr>
                <w:rFonts w:ascii="Calibri" w:eastAsia="Times New Roman" w:hAnsi="Calibri" w:cs="Times New Roman"/>
                <w:bCs/>
                <w:sz w:val="24"/>
                <w:szCs w:val="24"/>
                <w:lang w:eastAsia="en-GB"/>
              </w:rPr>
              <w:t>31.0%</w:t>
            </w:r>
          </w:p>
        </w:tc>
      </w:tr>
      <w:tr w:rsidR="00E46D78" w:rsidRPr="00601D07" w:rsidTr="00745748">
        <w:tc>
          <w:tcPr>
            <w:tcW w:w="3652" w:type="dxa"/>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 amount of history being taught by non-specialists</w:t>
            </w:r>
          </w:p>
        </w:tc>
        <w:tc>
          <w:tcPr>
            <w:tcW w:w="1276" w:type="dxa"/>
            <w:tcBorders>
              <w:right w:val="nil"/>
            </w:tcBorders>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26.3%</w:t>
            </w:r>
          </w:p>
        </w:tc>
        <w:tc>
          <w:tcPr>
            <w:tcW w:w="992" w:type="dxa"/>
            <w:tcBorders>
              <w:left w:val="nil"/>
            </w:tcBorders>
          </w:tcPr>
          <w:p w:rsidR="00E46D78"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E46D78">
              <w:rPr>
                <w:rFonts w:ascii="Calibri" w:eastAsia="Times New Roman" w:hAnsi="Calibri" w:cs="Times New Roman"/>
                <w:bCs/>
                <w:sz w:val="24"/>
                <w:szCs w:val="24"/>
                <w:lang w:eastAsia="en-GB"/>
              </w:rPr>
              <w:t>16.5%</w:t>
            </w:r>
            <w:r>
              <w:rPr>
                <w:rFonts w:ascii="Calibri" w:eastAsia="Times New Roman" w:hAnsi="Calibri" w:cs="Times New Roman"/>
                <w:bCs/>
                <w:sz w:val="24"/>
                <w:szCs w:val="24"/>
                <w:lang w:eastAsia="en-GB"/>
              </w:rPr>
              <w:t>)</w:t>
            </w:r>
          </w:p>
        </w:tc>
        <w:tc>
          <w:tcPr>
            <w:tcW w:w="1134" w:type="dxa"/>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33.3%</w:t>
            </w:r>
          </w:p>
        </w:tc>
        <w:tc>
          <w:tcPr>
            <w:tcW w:w="1066" w:type="dxa"/>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40.3%</w:t>
            </w:r>
          </w:p>
        </w:tc>
      </w:tr>
      <w:tr w:rsidR="00E46D78" w:rsidRPr="00601D07" w:rsidTr="00745748">
        <w:tc>
          <w:tcPr>
            <w:tcW w:w="3652" w:type="dxa"/>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Specialists are not replacing history teachers who leave</w:t>
            </w:r>
          </w:p>
        </w:tc>
        <w:tc>
          <w:tcPr>
            <w:tcW w:w="1276" w:type="dxa"/>
            <w:tcBorders>
              <w:right w:val="nil"/>
            </w:tcBorders>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17.6%</w:t>
            </w:r>
          </w:p>
        </w:tc>
        <w:tc>
          <w:tcPr>
            <w:tcW w:w="992" w:type="dxa"/>
            <w:tcBorders>
              <w:left w:val="nil"/>
            </w:tcBorders>
          </w:tcPr>
          <w:p w:rsidR="00E46D78" w:rsidRPr="00601D07" w:rsidRDefault="00F41655"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w:t>
            </w:r>
            <w:r w:rsidR="00E46D78">
              <w:rPr>
                <w:rFonts w:ascii="Calibri" w:eastAsia="Times New Roman" w:hAnsi="Calibri" w:cs="Times New Roman"/>
                <w:bCs/>
                <w:sz w:val="24"/>
                <w:szCs w:val="24"/>
                <w:lang w:eastAsia="en-GB"/>
              </w:rPr>
              <w:t>7.9%</w:t>
            </w:r>
            <w:r>
              <w:rPr>
                <w:rFonts w:ascii="Calibri" w:eastAsia="Times New Roman" w:hAnsi="Calibri" w:cs="Times New Roman"/>
                <w:bCs/>
                <w:sz w:val="24"/>
                <w:szCs w:val="24"/>
                <w:lang w:eastAsia="en-GB"/>
              </w:rPr>
              <w:t>)</w:t>
            </w:r>
          </w:p>
        </w:tc>
        <w:tc>
          <w:tcPr>
            <w:tcW w:w="1134" w:type="dxa"/>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40.8%</w:t>
            </w:r>
          </w:p>
        </w:tc>
        <w:tc>
          <w:tcPr>
            <w:tcW w:w="1066" w:type="dxa"/>
          </w:tcPr>
          <w:p w:rsidR="00E46D78" w:rsidRPr="00601D07" w:rsidRDefault="00E46D78" w:rsidP="0074574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43.6%</w:t>
            </w:r>
          </w:p>
        </w:tc>
      </w:tr>
    </w:tbl>
    <w:p w:rsidR="00DD165E" w:rsidRDefault="00DD165E" w:rsidP="00745748">
      <w:pPr>
        <w:ind w:right="720"/>
        <w:jc w:val="both"/>
        <w:rPr>
          <w:rFonts w:ascii="Calibri" w:eastAsia="Times New Roman" w:hAnsi="Calibri" w:cs="Times New Roman"/>
          <w:bCs/>
          <w:sz w:val="24"/>
          <w:szCs w:val="24"/>
          <w:lang w:eastAsia="en-GB"/>
        </w:rPr>
      </w:pPr>
    </w:p>
    <w:p w:rsidR="00F37B1D" w:rsidRPr="00E46D78" w:rsidRDefault="00F37B1D" w:rsidP="00745748">
      <w:pPr>
        <w:ind w:right="720"/>
        <w:jc w:val="both"/>
        <w:rPr>
          <w:rFonts w:ascii="Calibri" w:eastAsia="Times New Roman" w:hAnsi="Calibri" w:cs="Times New Roman"/>
          <w:bCs/>
          <w:lang w:eastAsia="en-GB"/>
        </w:rPr>
      </w:pPr>
      <w:r w:rsidRPr="00E46D78">
        <w:rPr>
          <w:rFonts w:ascii="Calibri" w:eastAsia="Times New Roman" w:hAnsi="Calibri" w:cs="Times New Roman"/>
          <w:bCs/>
          <w:lang w:eastAsia="en-GB"/>
        </w:rPr>
        <w:lastRenderedPageBreak/>
        <w:t xml:space="preserve">The survey was conducted in the spring term – after the publication of the first draft of the revised National Curriculum for history and before the revised version, published in July. While the most extreme of these concerns – the inappropriate nature of the proposed changes and the sense that teachers’ views were simply not being listened to – may have been at least partly addressed by the publication of a significantly revised second draft, many of the concerns related to the pace of change and the capacity of schools (and others – such as publishers) to prepare adequately for them. Not only do new curricula call for new resources (which may be unavailable in the time available, or prove to be unaffordable for schools in straitened times); but they may also call for appropriate continuing professional development (CPD), which many teachers report that they cannot access. </w:t>
      </w:r>
    </w:p>
    <w:p w:rsidR="00F37B1D" w:rsidRPr="00E46D78" w:rsidRDefault="00F37B1D" w:rsidP="00745748">
      <w:pPr>
        <w:ind w:right="720"/>
        <w:jc w:val="both"/>
        <w:rPr>
          <w:rFonts w:ascii="Calibri" w:eastAsia="Times New Roman" w:hAnsi="Calibri" w:cs="Times New Roman"/>
          <w:bCs/>
          <w:lang w:eastAsia="en-GB"/>
        </w:rPr>
      </w:pPr>
      <w:r>
        <w:rPr>
          <w:rFonts w:ascii="Calibri" w:eastAsia="Times New Roman" w:hAnsi="Calibri" w:cs="Times New Roman"/>
          <w:bCs/>
          <w:lang w:eastAsia="en-GB"/>
        </w:rPr>
        <w:t xml:space="preserve">Concerns about a lack of specialist history teachers have been discussed already (in section 4.3), but the one </w:t>
      </w:r>
      <w:r w:rsidRPr="00E46D78">
        <w:rPr>
          <w:rFonts w:ascii="Calibri" w:eastAsia="Times New Roman" w:hAnsi="Calibri" w:cs="Times New Roman"/>
          <w:bCs/>
          <w:lang w:eastAsia="en-GB"/>
        </w:rPr>
        <w:t>other issue of continuing concern to teachers, although not ranked as high as issues related to curriculum change is the impact of ‘rarely cover’ policies introduced several years ago, which prevent teachers from being called upon to cover absent teachers’ classes (thus protecting time for preparation and marking) but make it much more expensive for schools to run off-site trips that require supervision. This has significantly reduced the scope for visits to museums and historic sites.</w:t>
      </w:r>
    </w:p>
    <w:p w:rsidR="00F37B1D" w:rsidRPr="00601D07" w:rsidRDefault="00F37B1D" w:rsidP="00745748">
      <w:pPr>
        <w:ind w:right="720"/>
        <w:jc w:val="both"/>
        <w:rPr>
          <w:rFonts w:ascii="Calibri" w:eastAsia="Times New Roman" w:hAnsi="Calibri" w:cs="Times New Roman"/>
          <w:bCs/>
          <w:sz w:val="24"/>
          <w:szCs w:val="24"/>
          <w:lang w:eastAsia="en-GB"/>
        </w:rPr>
      </w:pPr>
    </w:p>
    <w:sectPr w:rsidR="00F37B1D" w:rsidRPr="00601D07" w:rsidSect="008C12B1">
      <w:footerReference w:type="default" r:id="rId2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43" w:rsidRDefault="00255E43" w:rsidP="00DD165E">
      <w:pPr>
        <w:spacing w:after="0" w:line="240" w:lineRule="auto"/>
      </w:pPr>
      <w:r>
        <w:separator/>
      </w:r>
    </w:p>
  </w:endnote>
  <w:endnote w:type="continuationSeparator" w:id="0">
    <w:p w:rsidR="00255E43" w:rsidRDefault="00255E43" w:rsidP="00DD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611726"/>
      <w:docPartObj>
        <w:docPartGallery w:val="Page Numbers (Bottom of Page)"/>
        <w:docPartUnique/>
      </w:docPartObj>
    </w:sdtPr>
    <w:sdtEndPr>
      <w:rPr>
        <w:noProof/>
      </w:rPr>
    </w:sdtEndPr>
    <w:sdtContent>
      <w:p w:rsidR="00EF2F48" w:rsidRDefault="004B2612">
        <w:pPr>
          <w:pStyle w:val="Footer"/>
          <w:jc w:val="right"/>
        </w:pPr>
        <w:fldSimple w:instr=" PAGE   \* MERGEFORMAT ">
          <w:r w:rsidR="0036170B">
            <w:rPr>
              <w:noProof/>
            </w:rPr>
            <w:t>3</w:t>
          </w:r>
        </w:fldSimple>
      </w:p>
    </w:sdtContent>
  </w:sdt>
  <w:p w:rsidR="00EF2F48" w:rsidRDefault="00EF2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43" w:rsidRDefault="00255E43" w:rsidP="00DD165E">
      <w:pPr>
        <w:spacing w:after="0" w:line="240" w:lineRule="auto"/>
      </w:pPr>
      <w:r>
        <w:separator/>
      </w:r>
    </w:p>
  </w:footnote>
  <w:footnote w:type="continuationSeparator" w:id="0">
    <w:p w:rsidR="00255E43" w:rsidRDefault="00255E43" w:rsidP="00DD165E">
      <w:pPr>
        <w:spacing w:after="0" w:line="240" w:lineRule="auto"/>
      </w:pPr>
      <w:r>
        <w:continuationSeparator/>
      </w:r>
    </w:p>
  </w:footnote>
  <w:footnote w:id="1">
    <w:p w:rsidR="00EF2F48" w:rsidRDefault="00EF2F48">
      <w:pPr>
        <w:pStyle w:val="FootnoteText"/>
      </w:pPr>
      <w:r>
        <w:rPr>
          <w:rStyle w:val="FootnoteReference"/>
        </w:rPr>
        <w:footnoteRef/>
      </w:r>
      <w:r>
        <w:t xml:space="preserve"> Although 468 schools reported the length of their Key Stage 3 curriculum, not all respondents went on to explain the nature of their curriculum arrangements and how history was taught within them. The following tables that explain the nature of the Key Stage 3 provision in more detail therefore report on provision in the 448 schools for which full data was submitted.</w:t>
      </w:r>
    </w:p>
  </w:footnote>
  <w:footnote w:id="2">
    <w:p w:rsidR="00EF2F48" w:rsidRDefault="00EF2F48">
      <w:pPr>
        <w:pStyle w:val="FootnoteText"/>
      </w:pPr>
      <w:r>
        <w:rPr>
          <w:rStyle w:val="FootnoteReference"/>
        </w:rPr>
        <w:footnoteRef/>
      </w:r>
      <w:r>
        <w:t xml:space="preserve"> According to figures published by Ofsted, by the qualifications regulator, </w:t>
      </w:r>
      <w:proofErr w:type="spellStart"/>
      <w:r>
        <w:t>Ofqual</w:t>
      </w:r>
      <w:proofErr w:type="spellEnd"/>
      <w:r>
        <w:t>, and by the Joint Council for Qualifications, (JCQ), the proportion of the cohort taking GCSE history in 2011 was 31% in 2011, 33% in 2012 and rose to 39% in 2013. This sharp increase reflects the impact of the introduction of the E-</w:t>
      </w:r>
      <w:proofErr w:type="spellStart"/>
      <w:r>
        <w:t>Bacc</w:t>
      </w:r>
      <w:proofErr w:type="spellEnd"/>
      <w:r>
        <w:t xml:space="preserve"> measure.   </w:t>
      </w:r>
    </w:p>
  </w:footnote>
  <w:footnote w:id="3">
    <w:p w:rsidR="00EF2F48" w:rsidRDefault="00EF2F48">
      <w:pPr>
        <w:pStyle w:val="FootnoteText"/>
      </w:pPr>
      <w:r>
        <w:rPr>
          <w:rStyle w:val="FootnoteReference"/>
        </w:rPr>
        <w:footnoteRef/>
      </w:r>
      <w:r>
        <w:t xml:space="preserve"> The differences in the patterns of GCSE uptake between schools that offer a two-year Key Stage 3 and those that offer a conventional three-year Key Stage 3 were found to be statistically significant when tested using the two-sample Kolmogorov-Smirnov distribution. </w:t>
      </w:r>
    </w:p>
  </w:footnote>
  <w:footnote w:id="4">
    <w:p w:rsidR="00EF2F48" w:rsidRDefault="00EF2F48">
      <w:pPr>
        <w:pStyle w:val="FootnoteText"/>
      </w:pPr>
      <w:r>
        <w:rPr>
          <w:rStyle w:val="FootnoteReference"/>
        </w:rPr>
        <w:footnoteRef/>
      </w:r>
      <w:r>
        <w:t xml:space="preserve"> The respondent offered no specific evidence or reference in support of this particular claim about the relative difficulty of history GCSE. Its inclusion here does not imply acceptance of this assertion, although there has been some analysis of results that tends to confirm the claim that history is a relatively difficult subject in which to obtain high grades. See Coe (2008</w:t>
      </w:r>
      <w:proofErr w:type="gramStart"/>
      <w:r>
        <w:t>)  Comparability</w:t>
      </w:r>
      <w:proofErr w:type="gramEnd"/>
      <w:r>
        <w:t xml:space="preserve"> of GCSE examination in different subjects: an application of the </w:t>
      </w:r>
      <w:proofErr w:type="spellStart"/>
      <w:r>
        <w:t>Rasch</w:t>
      </w:r>
      <w:proofErr w:type="spellEnd"/>
      <w:r>
        <w:t xml:space="preserve"> model, </w:t>
      </w:r>
      <w:r w:rsidRPr="00903F31">
        <w:rPr>
          <w:i/>
        </w:rPr>
        <w:t>Oxford Review of Education</w:t>
      </w:r>
      <w:r>
        <w:t xml:space="preserve">, 34 (5)  609-636.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B68"/>
    <w:multiLevelType w:val="hybridMultilevel"/>
    <w:tmpl w:val="FFDC20D2"/>
    <w:lvl w:ilvl="0" w:tplc="FBAC8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1096"/>
    <w:rsid w:val="00024908"/>
    <w:rsid w:val="00063B17"/>
    <w:rsid w:val="000749E7"/>
    <w:rsid w:val="00077767"/>
    <w:rsid w:val="00077DC3"/>
    <w:rsid w:val="0009298A"/>
    <w:rsid w:val="00092D7E"/>
    <w:rsid w:val="00096C5D"/>
    <w:rsid w:val="000A2429"/>
    <w:rsid w:val="000C2197"/>
    <w:rsid w:val="000C47B1"/>
    <w:rsid w:val="000D0B98"/>
    <w:rsid w:val="000E464B"/>
    <w:rsid w:val="000E68E5"/>
    <w:rsid w:val="001028C9"/>
    <w:rsid w:val="00112371"/>
    <w:rsid w:val="00114FAF"/>
    <w:rsid w:val="00131AAD"/>
    <w:rsid w:val="00137A25"/>
    <w:rsid w:val="00144B30"/>
    <w:rsid w:val="00154C86"/>
    <w:rsid w:val="00197E6F"/>
    <w:rsid w:val="001A4A88"/>
    <w:rsid w:val="001B13F0"/>
    <w:rsid w:val="00203FC1"/>
    <w:rsid w:val="00204C56"/>
    <w:rsid w:val="00212DF7"/>
    <w:rsid w:val="002214A3"/>
    <w:rsid w:val="00221AEA"/>
    <w:rsid w:val="0022319A"/>
    <w:rsid w:val="002325FA"/>
    <w:rsid w:val="00240138"/>
    <w:rsid w:val="00246084"/>
    <w:rsid w:val="0025036F"/>
    <w:rsid w:val="00254DAB"/>
    <w:rsid w:val="00255E43"/>
    <w:rsid w:val="00277D0C"/>
    <w:rsid w:val="002B1415"/>
    <w:rsid w:val="002B310D"/>
    <w:rsid w:val="00300261"/>
    <w:rsid w:val="00317C4D"/>
    <w:rsid w:val="00325804"/>
    <w:rsid w:val="00337103"/>
    <w:rsid w:val="0036170B"/>
    <w:rsid w:val="003A37BA"/>
    <w:rsid w:val="003B22AF"/>
    <w:rsid w:val="003E1FE0"/>
    <w:rsid w:val="003F2E5E"/>
    <w:rsid w:val="003F78CE"/>
    <w:rsid w:val="00404857"/>
    <w:rsid w:val="0041085B"/>
    <w:rsid w:val="00435E1D"/>
    <w:rsid w:val="004434AB"/>
    <w:rsid w:val="004438CA"/>
    <w:rsid w:val="00467E85"/>
    <w:rsid w:val="00473CBA"/>
    <w:rsid w:val="004803B8"/>
    <w:rsid w:val="00485F03"/>
    <w:rsid w:val="0049055A"/>
    <w:rsid w:val="004B0E1C"/>
    <w:rsid w:val="004B2612"/>
    <w:rsid w:val="004C2E70"/>
    <w:rsid w:val="004C425A"/>
    <w:rsid w:val="004E4546"/>
    <w:rsid w:val="004F7EFC"/>
    <w:rsid w:val="00502E59"/>
    <w:rsid w:val="005200C8"/>
    <w:rsid w:val="0052551B"/>
    <w:rsid w:val="00563966"/>
    <w:rsid w:val="005663EA"/>
    <w:rsid w:val="00576EC3"/>
    <w:rsid w:val="005854E2"/>
    <w:rsid w:val="005D27E0"/>
    <w:rsid w:val="00601D07"/>
    <w:rsid w:val="00621096"/>
    <w:rsid w:val="00632E94"/>
    <w:rsid w:val="006565D8"/>
    <w:rsid w:val="00662C84"/>
    <w:rsid w:val="00671206"/>
    <w:rsid w:val="006C0F21"/>
    <w:rsid w:val="006C5CD4"/>
    <w:rsid w:val="006E7081"/>
    <w:rsid w:val="006F6433"/>
    <w:rsid w:val="00717C44"/>
    <w:rsid w:val="00745748"/>
    <w:rsid w:val="00754C7F"/>
    <w:rsid w:val="00776666"/>
    <w:rsid w:val="0078024B"/>
    <w:rsid w:val="007845DD"/>
    <w:rsid w:val="00785EBF"/>
    <w:rsid w:val="00787739"/>
    <w:rsid w:val="00794D21"/>
    <w:rsid w:val="007A6B9B"/>
    <w:rsid w:val="007B4463"/>
    <w:rsid w:val="008035D8"/>
    <w:rsid w:val="008258D8"/>
    <w:rsid w:val="0083451E"/>
    <w:rsid w:val="00841DFC"/>
    <w:rsid w:val="008430AA"/>
    <w:rsid w:val="00885DF0"/>
    <w:rsid w:val="008A71E3"/>
    <w:rsid w:val="008C12B1"/>
    <w:rsid w:val="00903F31"/>
    <w:rsid w:val="0091727C"/>
    <w:rsid w:val="00921753"/>
    <w:rsid w:val="00926FAC"/>
    <w:rsid w:val="0094118D"/>
    <w:rsid w:val="0095490A"/>
    <w:rsid w:val="00963796"/>
    <w:rsid w:val="009E0818"/>
    <w:rsid w:val="009F7810"/>
    <w:rsid w:val="00A312CD"/>
    <w:rsid w:val="00A41DC4"/>
    <w:rsid w:val="00A511AD"/>
    <w:rsid w:val="00A63048"/>
    <w:rsid w:val="00A97179"/>
    <w:rsid w:val="00B05482"/>
    <w:rsid w:val="00B1312E"/>
    <w:rsid w:val="00B30421"/>
    <w:rsid w:val="00B30C80"/>
    <w:rsid w:val="00B40507"/>
    <w:rsid w:val="00B63B13"/>
    <w:rsid w:val="00B73F60"/>
    <w:rsid w:val="00B77D79"/>
    <w:rsid w:val="00BB6148"/>
    <w:rsid w:val="00BB7F4F"/>
    <w:rsid w:val="00BC6772"/>
    <w:rsid w:val="00BD14C5"/>
    <w:rsid w:val="00BF0339"/>
    <w:rsid w:val="00C34D4F"/>
    <w:rsid w:val="00C414E6"/>
    <w:rsid w:val="00C56F80"/>
    <w:rsid w:val="00C5717F"/>
    <w:rsid w:val="00C60B53"/>
    <w:rsid w:val="00C67E21"/>
    <w:rsid w:val="00C805C0"/>
    <w:rsid w:val="00CD49F8"/>
    <w:rsid w:val="00CE4DB9"/>
    <w:rsid w:val="00CF185C"/>
    <w:rsid w:val="00D13F12"/>
    <w:rsid w:val="00D204E1"/>
    <w:rsid w:val="00D45B62"/>
    <w:rsid w:val="00D61B31"/>
    <w:rsid w:val="00D641C7"/>
    <w:rsid w:val="00D90BB5"/>
    <w:rsid w:val="00D95DA7"/>
    <w:rsid w:val="00DC2837"/>
    <w:rsid w:val="00DD165E"/>
    <w:rsid w:val="00DE0105"/>
    <w:rsid w:val="00DE4A8D"/>
    <w:rsid w:val="00DF750E"/>
    <w:rsid w:val="00E102B0"/>
    <w:rsid w:val="00E129DA"/>
    <w:rsid w:val="00E377B8"/>
    <w:rsid w:val="00E46D78"/>
    <w:rsid w:val="00E72024"/>
    <w:rsid w:val="00E830CA"/>
    <w:rsid w:val="00EB068E"/>
    <w:rsid w:val="00ED2F51"/>
    <w:rsid w:val="00EF2AC3"/>
    <w:rsid w:val="00EF2F48"/>
    <w:rsid w:val="00F16BFE"/>
    <w:rsid w:val="00F23AE3"/>
    <w:rsid w:val="00F37B1D"/>
    <w:rsid w:val="00F41655"/>
    <w:rsid w:val="00F64CCE"/>
    <w:rsid w:val="00F8060B"/>
    <w:rsid w:val="00FA6EB7"/>
    <w:rsid w:val="00FC171E"/>
    <w:rsid w:val="00FE7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8A"/>
    <w:rPr>
      <w:rFonts w:ascii="Tahoma" w:hAnsi="Tahoma" w:cs="Tahoma"/>
      <w:sz w:val="16"/>
      <w:szCs w:val="16"/>
    </w:rPr>
  </w:style>
  <w:style w:type="character" w:styleId="CommentReference">
    <w:name w:val="annotation reference"/>
    <w:basedOn w:val="DefaultParagraphFont"/>
    <w:uiPriority w:val="99"/>
    <w:semiHidden/>
    <w:unhideWhenUsed/>
    <w:rsid w:val="00077DC3"/>
    <w:rPr>
      <w:sz w:val="16"/>
      <w:szCs w:val="16"/>
    </w:rPr>
  </w:style>
  <w:style w:type="paragraph" w:styleId="CommentText">
    <w:name w:val="annotation text"/>
    <w:basedOn w:val="Normal"/>
    <w:link w:val="CommentTextChar"/>
    <w:uiPriority w:val="99"/>
    <w:semiHidden/>
    <w:unhideWhenUsed/>
    <w:rsid w:val="00077DC3"/>
    <w:pPr>
      <w:spacing w:line="240" w:lineRule="auto"/>
    </w:pPr>
    <w:rPr>
      <w:sz w:val="20"/>
      <w:szCs w:val="20"/>
    </w:rPr>
  </w:style>
  <w:style w:type="character" w:customStyle="1" w:styleId="CommentTextChar">
    <w:name w:val="Comment Text Char"/>
    <w:basedOn w:val="DefaultParagraphFont"/>
    <w:link w:val="CommentText"/>
    <w:uiPriority w:val="99"/>
    <w:semiHidden/>
    <w:rsid w:val="00077DC3"/>
    <w:rPr>
      <w:sz w:val="20"/>
      <w:szCs w:val="20"/>
    </w:rPr>
  </w:style>
  <w:style w:type="paragraph" w:styleId="CommentSubject">
    <w:name w:val="annotation subject"/>
    <w:basedOn w:val="CommentText"/>
    <w:next w:val="CommentText"/>
    <w:link w:val="CommentSubjectChar"/>
    <w:uiPriority w:val="99"/>
    <w:semiHidden/>
    <w:unhideWhenUsed/>
    <w:rsid w:val="00077DC3"/>
    <w:rPr>
      <w:b/>
      <w:bCs/>
    </w:rPr>
  </w:style>
  <w:style w:type="character" w:customStyle="1" w:styleId="CommentSubjectChar">
    <w:name w:val="Comment Subject Char"/>
    <w:basedOn w:val="CommentTextChar"/>
    <w:link w:val="CommentSubject"/>
    <w:uiPriority w:val="99"/>
    <w:semiHidden/>
    <w:rsid w:val="00077DC3"/>
    <w:rPr>
      <w:b/>
      <w:bCs/>
      <w:sz w:val="20"/>
      <w:szCs w:val="20"/>
    </w:rPr>
  </w:style>
  <w:style w:type="paragraph" w:styleId="ListParagraph">
    <w:name w:val="List Paragraph"/>
    <w:basedOn w:val="Normal"/>
    <w:uiPriority w:val="34"/>
    <w:qFormat/>
    <w:rsid w:val="0094118D"/>
    <w:pPr>
      <w:ind w:left="720"/>
      <w:contextualSpacing/>
    </w:pPr>
  </w:style>
  <w:style w:type="table" w:styleId="TableGrid">
    <w:name w:val="Table Grid"/>
    <w:basedOn w:val="TableNormal"/>
    <w:uiPriority w:val="59"/>
    <w:rsid w:val="00F8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23AE3"/>
    <w:pPr>
      <w:spacing w:after="0" w:line="240" w:lineRule="auto"/>
    </w:pPr>
  </w:style>
  <w:style w:type="paragraph" w:styleId="FootnoteText">
    <w:name w:val="footnote text"/>
    <w:basedOn w:val="Normal"/>
    <w:link w:val="FootnoteTextChar"/>
    <w:uiPriority w:val="99"/>
    <w:semiHidden/>
    <w:unhideWhenUsed/>
    <w:rsid w:val="00DD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5E"/>
    <w:rPr>
      <w:sz w:val="20"/>
      <w:szCs w:val="20"/>
    </w:rPr>
  </w:style>
  <w:style w:type="character" w:styleId="FootnoteReference">
    <w:name w:val="footnote reference"/>
    <w:basedOn w:val="DefaultParagraphFont"/>
    <w:uiPriority w:val="99"/>
    <w:semiHidden/>
    <w:unhideWhenUsed/>
    <w:rsid w:val="00DD165E"/>
    <w:rPr>
      <w:vertAlign w:val="superscript"/>
    </w:rPr>
  </w:style>
  <w:style w:type="paragraph" w:styleId="Header">
    <w:name w:val="header"/>
    <w:basedOn w:val="Normal"/>
    <w:link w:val="HeaderChar"/>
    <w:uiPriority w:val="99"/>
    <w:unhideWhenUsed/>
    <w:rsid w:val="0075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7F"/>
  </w:style>
  <w:style w:type="paragraph" w:styleId="Footer">
    <w:name w:val="footer"/>
    <w:basedOn w:val="Normal"/>
    <w:link w:val="FooterChar"/>
    <w:uiPriority w:val="99"/>
    <w:unhideWhenUsed/>
    <w:rsid w:val="0075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8A"/>
    <w:rPr>
      <w:rFonts w:ascii="Tahoma" w:hAnsi="Tahoma" w:cs="Tahoma"/>
      <w:sz w:val="16"/>
      <w:szCs w:val="16"/>
    </w:rPr>
  </w:style>
  <w:style w:type="character" w:styleId="CommentReference">
    <w:name w:val="annotation reference"/>
    <w:basedOn w:val="DefaultParagraphFont"/>
    <w:uiPriority w:val="99"/>
    <w:semiHidden/>
    <w:unhideWhenUsed/>
    <w:rsid w:val="00077DC3"/>
    <w:rPr>
      <w:sz w:val="16"/>
      <w:szCs w:val="16"/>
    </w:rPr>
  </w:style>
  <w:style w:type="paragraph" w:styleId="CommentText">
    <w:name w:val="annotation text"/>
    <w:basedOn w:val="Normal"/>
    <w:link w:val="CommentTextChar"/>
    <w:uiPriority w:val="99"/>
    <w:semiHidden/>
    <w:unhideWhenUsed/>
    <w:rsid w:val="00077DC3"/>
    <w:pPr>
      <w:spacing w:line="240" w:lineRule="auto"/>
    </w:pPr>
    <w:rPr>
      <w:sz w:val="20"/>
      <w:szCs w:val="20"/>
    </w:rPr>
  </w:style>
  <w:style w:type="character" w:customStyle="1" w:styleId="CommentTextChar">
    <w:name w:val="Comment Text Char"/>
    <w:basedOn w:val="DefaultParagraphFont"/>
    <w:link w:val="CommentText"/>
    <w:uiPriority w:val="99"/>
    <w:semiHidden/>
    <w:rsid w:val="00077DC3"/>
    <w:rPr>
      <w:sz w:val="20"/>
      <w:szCs w:val="20"/>
    </w:rPr>
  </w:style>
  <w:style w:type="paragraph" w:styleId="CommentSubject">
    <w:name w:val="annotation subject"/>
    <w:basedOn w:val="CommentText"/>
    <w:next w:val="CommentText"/>
    <w:link w:val="CommentSubjectChar"/>
    <w:uiPriority w:val="99"/>
    <w:semiHidden/>
    <w:unhideWhenUsed/>
    <w:rsid w:val="00077DC3"/>
    <w:rPr>
      <w:b/>
      <w:bCs/>
    </w:rPr>
  </w:style>
  <w:style w:type="character" w:customStyle="1" w:styleId="CommentSubjectChar">
    <w:name w:val="Comment Subject Char"/>
    <w:basedOn w:val="CommentTextChar"/>
    <w:link w:val="CommentSubject"/>
    <w:uiPriority w:val="99"/>
    <w:semiHidden/>
    <w:rsid w:val="00077DC3"/>
    <w:rPr>
      <w:b/>
      <w:bCs/>
      <w:sz w:val="20"/>
      <w:szCs w:val="20"/>
    </w:rPr>
  </w:style>
  <w:style w:type="paragraph" w:styleId="ListParagraph">
    <w:name w:val="List Paragraph"/>
    <w:basedOn w:val="Normal"/>
    <w:uiPriority w:val="34"/>
    <w:qFormat/>
    <w:rsid w:val="0094118D"/>
    <w:pPr>
      <w:ind w:left="720"/>
      <w:contextualSpacing/>
    </w:pPr>
  </w:style>
  <w:style w:type="table" w:styleId="TableGrid">
    <w:name w:val="Table Grid"/>
    <w:basedOn w:val="TableNormal"/>
    <w:uiPriority w:val="59"/>
    <w:rsid w:val="00F8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23AE3"/>
    <w:pPr>
      <w:spacing w:after="0" w:line="240" w:lineRule="auto"/>
    </w:pPr>
  </w:style>
  <w:style w:type="paragraph" w:styleId="FootnoteText">
    <w:name w:val="footnote text"/>
    <w:basedOn w:val="Normal"/>
    <w:link w:val="FootnoteTextChar"/>
    <w:uiPriority w:val="99"/>
    <w:semiHidden/>
    <w:unhideWhenUsed/>
    <w:rsid w:val="00DD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5E"/>
    <w:rPr>
      <w:sz w:val="20"/>
      <w:szCs w:val="20"/>
    </w:rPr>
  </w:style>
  <w:style w:type="character" w:styleId="FootnoteReference">
    <w:name w:val="footnote reference"/>
    <w:basedOn w:val="DefaultParagraphFont"/>
    <w:uiPriority w:val="99"/>
    <w:semiHidden/>
    <w:unhideWhenUsed/>
    <w:rsid w:val="00DD165E"/>
    <w:rPr>
      <w:vertAlign w:val="superscript"/>
    </w:rPr>
  </w:style>
  <w:style w:type="paragraph" w:styleId="Header">
    <w:name w:val="header"/>
    <w:basedOn w:val="Normal"/>
    <w:link w:val="HeaderChar"/>
    <w:uiPriority w:val="99"/>
    <w:unhideWhenUsed/>
    <w:rsid w:val="0075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7F"/>
  </w:style>
  <w:style w:type="paragraph" w:styleId="Footer">
    <w:name w:val="footer"/>
    <w:basedOn w:val="Normal"/>
    <w:link w:val="FooterChar"/>
    <w:uiPriority w:val="99"/>
    <w:unhideWhenUsed/>
    <w:rsid w:val="0075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7F"/>
  </w:style>
</w:styles>
</file>

<file path=word/webSettings.xml><?xml version="1.0" encoding="utf-8"?>
<w:webSettings xmlns:r="http://schemas.openxmlformats.org/officeDocument/2006/relationships" xmlns:w="http://schemas.openxmlformats.org/wordprocessingml/2006/main">
  <w:divs>
    <w:div w:id="17660937">
      <w:bodyDiv w:val="1"/>
      <w:marLeft w:val="0"/>
      <w:marRight w:val="0"/>
      <w:marTop w:val="0"/>
      <w:marBottom w:val="0"/>
      <w:divBdr>
        <w:top w:val="none" w:sz="0" w:space="0" w:color="auto"/>
        <w:left w:val="none" w:sz="0" w:space="0" w:color="auto"/>
        <w:bottom w:val="none" w:sz="0" w:space="0" w:color="auto"/>
        <w:right w:val="none" w:sz="0" w:space="0" w:color="auto"/>
      </w:divBdr>
    </w:div>
    <w:div w:id="56515404">
      <w:bodyDiv w:val="1"/>
      <w:marLeft w:val="0"/>
      <w:marRight w:val="0"/>
      <w:marTop w:val="0"/>
      <w:marBottom w:val="0"/>
      <w:divBdr>
        <w:top w:val="none" w:sz="0" w:space="0" w:color="auto"/>
        <w:left w:val="none" w:sz="0" w:space="0" w:color="auto"/>
        <w:bottom w:val="none" w:sz="0" w:space="0" w:color="auto"/>
        <w:right w:val="none" w:sz="0" w:space="0" w:color="auto"/>
      </w:divBdr>
    </w:div>
    <w:div w:id="74405115">
      <w:bodyDiv w:val="1"/>
      <w:marLeft w:val="0"/>
      <w:marRight w:val="0"/>
      <w:marTop w:val="0"/>
      <w:marBottom w:val="0"/>
      <w:divBdr>
        <w:top w:val="none" w:sz="0" w:space="0" w:color="auto"/>
        <w:left w:val="none" w:sz="0" w:space="0" w:color="auto"/>
        <w:bottom w:val="none" w:sz="0" w:space="0" w:color="auto"/>
        <w:right w:val="none" w:sz="0" w:space="0" w:color="auto"/>
      </w:divBdr>
    </w:div>
    <w:div w:id="238365170">
      <w:bodyDiv w:val="1"/>
      <w:marLeft w:val="0"/>
      <w:marRight w:val="0"/>
      <w:marTop w:val="0"/>
      <w:marBottom w:val="0"/>
      <w:divBdr>
        <w:top w:val="none" w:sz="0" w:space="0" w:color="auto"/>
        <w:left w:val="none" w:sz="0" w:space="0" w:color="auto"/>
        <w:bottom w:val="none" w:sz="0" w:space="0" w:color="auto"/>
        <w:right w:val="none" w:sz="0" w:space="0" w:color="auto"/>
      </w:divBdr>
    </w:div>
    <w:div w:id="239827751">
      <w:bodyDiv w:val="1"/>
      <w:marLeft w:val="0"/>
      <w:marRight w:val="0"/>
      <w:marTop w:val="0"/>
      <w:marBottom w:val="0"/>
      <w:divBdr>
        <w:top w:val="none" w:sz="0" w:space="0" w:color="auto"/>
        <w:left w:val="none" w:sz="0" w:space="0" w:color="auto"/>
        <w:bottom w:val="none" w:sz="0" w:space="0" w:color="auto"/>
        <w:right w:val="none" w:sz="0" w:space="0" w:color="auto"/>
      </w:divBdr>
    </w:div>
    <w:div w:id="303782113">
      <w:bodyDiv w:val="1"/>
      <w:marLeft w:val="0"/>
      <w:marRight w:val="0"/>
      <w:marTop w:val="0"/>
      <w:marBottom w:val="0"/>
      <w:divBdr>
        <w:top w:val="none" w:sz="0" w:space="0" w:color="auto"/>
        <w:left w:val="none" w:sz="0" w:space="0" w:color="auto"/>
        <w:bottom w:val="none" w:sz="0" w:space="0" w:color="auto"/>
        <w:right w:val="none" w:sz="0" w:space="0" w:color="auto"/>
      </w:divBdr>
    </w:div>
    <w:div w:id="543180551">
      <w:bodyDiv w:val="1"/>
      <w:marLeft w:val="0"/>
      <w:marRight w:val="0"/>
      <w:marTop w:val="0"/>
      <w:marBottom w:val="0"/>
      <w:divBdr>
        <w:top w:val="none" w:sz="0" w:space="0" w:color="auto"/>
        <w:left w:val="none" w:sz="0" w:space="0" w:color="auto"/>
        <w:bottom w:val="none" w:sz="0" w:space="0" w:color="auto"/>
        <w:right w:val="none" w:sz="0" w:space="0" w:color="auto"/>
      </w:divBdr>
    </w:div>
    <w:div w:id="674306249">
      <w:bodyDiv w:val="1"/>
      <w:marLeft w:val="0"/>
      <w:marRight w:val="0"/>
      <w:marTop w:val="0"/>
      <w:marBottom w:val="0"/>
      <w:divBdr>
        <w:top w:val="none" w:sz="0" w:space="0" w:color="auto"/>
        <w:left w:val="none" w:sz="0" w:space="0" w:color="auto"/>
        <w:bottom w:val="none" w:sz="0" w:space="0" w:color="auto"/>
        <w:right w:val="none" w:sz="0" w:space="0" w:color="auto"/>
      </w:divBdr>
    </w:div>
    <w:div w:id="711417560">
      <w:bodyDiv w:val="1"/>
      <w:marLeft w:val="0"/>
      <w:marRight w:val="0"/>
      <w:marTop w:val="0"/>
      <w:marBottom w:val="0"/>
      <w:divBdr>
        <w:top w:val="none" w:sz="0" w:space="0" w:color="auto"/>
        <w:left w:val="none" w:sz="0" w:space="0" w:color="auto"/>
        <w:bottom w:val="none" w:sz="0" w:space="0" w:color="auto"/>
        <w:right w:val="none" w:sz="0" w:space="0" w:color="auto"/>
      </w:divBdr>
    </w:div>
    <w:div w:id="725109720">
      <w:bodyDiv w:val="1"/>
      <w:marLeft w:val="0"/>
      <w:marRight w:val="0"/>
      <w:marTop w:val="0"/>
      <w:marBottom w:val="0"/>
      <w:divBdr>
        <w:top w:val="none" w:sz="0" w:space="0" w:color="auto"/>
        <w:left w:val="none" w:sz="0" w:space="0" w:color="auto"/>
        <w:bottom w:val="none" w:sz="0" w:space="0" w:color="auto"/>
        <w:right w:val="none" w:sz="0" w:space="0" w:color="auto"/>
      </w:divBdr>
    </w:div>
    <w:div w:id="743381054">
      <w:bodyDiv w:val="1"/>
      <w:marLeft w:val="0"/>
      <w:marRight w:val="0"/>
      <w:marTop w:val="0"/>
      <w:marBottom w:val="0"/>
      <w:divBdr>
        <w:top w:val="none" w:sz="0" w:space="0" w:color="auto"/>
        <w:left w:val="none" w:sz="0" w:space="0" w:color="auto"/>
        <w:bottom w:val="none" w:sz="0" w:space="0" w:color="auto"/>
        <w:right w:val="none" w:sz="0" w:space="0" w:color="auto"/>
      </w:divBdr>
    </w:div>
    <w:div w:id="763037695">
      <w:bodyDiv w:val="1"/>
      <w:marLeft w:val="0"/>
      <w:marRight w:val="0"/>
      <w:marTop w:val="0"/>
      <w:marBottom w:val="0"/>
      <w:divBdr>
        <w:top w:val="none" w:sz="0" w:space="0" w:color="auto"/>
        <w:left w:val="none" w:sz="0" w:space="0" w:color="auto"/>
        <w:bottom w:val="none" w:sz="0" w:space="0" w:color="auto"/>
        <w:right w:val="none" w:sz="0" w:space="0" w:color="auto"/>
      </w:divBdr>
    </w:div>
    <w:div w:id="814759418">
      <w:bodyDiv w:val="1"/>
      <w:marLeft w:val="0"/>
      <w:marRight w:val="0"/>
      <w:marTop w:val="0"/>
      <w:marBottom w:val="0"/>
      <w:divBdr>
        <w:top w:val="none" w:sz="0" w:space="0" w:color="auto"/>
        <w:left w:val="none" w:sz="0" w:space="0" w:color="auto"/>
        <w:bottom w:val="none" w:sz="0" w:space="0" w:color="auto"/>
        <w:right w:val="none" w:sz="0" w:space="0" w:color="auto"/>
      </w:divBdr>
    </w:div>
    <w:div w:id="948776796">
      <w:bodyDiv w:val="1"/>
      <w:marLeft w:val="0"/>
      <w:marRight w:val="0"/>
      <w:marTop w:val="0"/>
      <w:marBottom w:val="0"/>
      <w:divBdr>
        <w:top w:val="none" w:sz="0" w:space="0" w:color="auto"/>
        <w:left w:val="none" w:sz="0" w:space="0" w:color="auto"/>
        <w:bottom w:val="none" w:sz="0" w:space="0" w:color="auto"/>
        <w:right w:val="none" w:sz="0" w:space="0" w:color="auto"/>
      </w:divBdr>
    </w:div>
    <w:div w:id="1105228936">
      <w:bodyDiv w:val="1"/>
      <w:marLeft w:val="0"/>
      <w:marRight w:val="0"/>
      <w:marTop w:val="0"/>
      <w:marBottom w:val="0"/>
      <w:divBdr>
        <w:top w:val="none" w:sz="0" w:space="0" w:color="auto"/>
        <w:left w:val="none" w:sz="0" w:space="0" w:color="auto"/>
        <w:bottom w:val="none" w:sz="0" w:space="0" w:color="auto"/>
        <w:right w:val="none" w:sz="0" w:space="0" w:color="auto"/>
      </w:divBdr>
    </w:div>
    <w:div w:id="1113204396">
      <w:bodyDiv w:val="1"/>
      <w:marLeft w:val="0"/>
      <w:marRight w:val="0"/>
      <w:marTop w:val="0"/>
      <w:marBottom w:val="0"/>
      <w:divBdr>
        <w:top w:val="none" w:sz="0" w:space="0" w:color="auto"/>
        <w:left w:val="none" w:sz="0" w:space="0" w:color="auto"/>
        <w:bottom w:val="none" w:sz="0" w:space="0" w:color="auto"/>
        <w:right w:val="none" w:sz="0" w:space="0" w:color="auto"/>
      </w:divBdr>
    </w:div>
    <w:div w:id="1200238655">
      <w:bodyDiv w:val="1"/>
      <w:marLeft w:val="0"/>
      <w:marRight w:val="0"/>
      <w:marTop w:val="0"/>
      <w:marBottom w:val="0"/>
      <w:divBdr>
        <w:top w:val="none" w:sz="0" w:space="0" w:color="auto"/>
        <w:left w:val="none" w:sz="0" w:space="0" w:color="auto"/>
        <w:bottom w:val="none" w:sz="0" w:space="0" w:color="auto"/>
        <w:right w:val="none" w:sz="0" w:space="0" w:color="auto"/>
      </w:divBdr>
    </w:div>
    <w:div w:id="1251819623">
      <w:bodyDiv w:val="1"/>
      <w:marLeft w:val="0"/>
      <w:marRight w:val="0"/>
      <w:marTop w:val="0"/>
      <w:marBottom w:val="0"/>
      <w:divBdr>
        <w:top w:val="none" w:sz="0" w:space="0" w:color="auto"/>
        <w:left w:val="none" w:sz="0" w:space="0" w:color="auto"/>
        <w:bottom w:val="none" w:sz="0" w:space="0" w:color="auto"/>
        <w:right w:val="none" w:sz="0" w:space="0" w:color="auto"/>
      </w:divBdr>
    </w:div>
    <w:div w:id="1507819238">
      <w:bodyDiv w:val="1"/>
      <w:marLeft w:val="0"/>
      <w:marRight w:val="0"/>
      <w:marTop w:val="0"/>
      <w:marBottom w:val="0"/>
      <w:divBdr>
        <w:top w:val="none" w:sz="0" w:space="0" w:color="auto"/>
        <w:left w:val="none" w:sz="0" w:space="0" w:color="auto"/>
        <w:bottom w:val="none" w:sz="0" w:space="0" w:color="auto"/>
        <w:right w:val="none" w:sz="0" w:space="0" w:color="auto"/>
      </w:divBdr>
    </w:div>
    <w:div w:id="1551653597">
      <w:bodyDiv w:val="1"/>
      <w:marLeft w:val="0"/>
      <w:marRight w:val="0"/>
      <w:marTop w:val="0"/>
      <w:marBottom w:val="0"/>
      <w:divBdr>
        <w:top w:val="none" w:sz="0" w:space="0" w:color="auto"/>
        <w:left w:val="none" w:sz="0" w:space="0" w:color="auto"/>
        <w:bottom w:val="none" w:sz="0" w:space="0" w:color="auto"/>
        <w:right w:val="none" w:sz="0" w:space="0" w:color="auto"/>
      </w:divBdr>
    </w:div>
    <w:div w:id="1583484288">
      <w:bodyDiv w:val="1"/>
      <w:marLeft w:val="0"/>
      <w:marRight w:val="0"/>
      <w:marTop w:val="0"/>
      <w:marBottom w:val="0"/>
      <w:divBdr>
        <w:top w:val="none" w:sz="0" w:space="0" w:color="auto"/>
        <w:left w:val="none" w:sz="0" w:space="0" w:color="auto"/>
        <w:bottom w:val="none" w:sz="0" w:space="0" w:color="auto"/>
        <w:right w:val="none" w:sz="0" w:space="0" w:color="auto"/>
      </w:divBdr>
    </w:div>
    <w:div w:id="1585650157">
      <w:bodyDiv w:val="1"/>
      <w:marLeft w:val="0"/>
      <w:marRight w:val="0"/>
      <w:marTop w:val="0"/>
      <w:marBottom w:val="0"/>
      <w:divBdr>
        <w:top w:val="none" w:sz="0" w:space="0" w:color="auto"/>
        <w:left w:val="none" w:sz="0" w:space="0" w:color="auto"/>
        <w:bottom w:val="none" w:sz="0" w:space="0" w:color="auto"/>
        <w:right w:val="none" w:sz="0" w:space="0" w:color="auto"/>
      </w:divBdr>
    </w:div>
    <w:div w:id="1781417907">
      <w:bodyDiv w:val="1"/>
      <w:marLeft w:val="0"/>
      <w:marRight w:val="0"/>
      <w:marTop w:val="0"/>
      <w:marBottom w:val="0"/>
      <w:divBdr>
        <w:top w:val="none" w:sz="0" w:space="0" w:color="auto"/>
        <w:left w:val="none" w:sz="0" w:space="0" w:color="auto"/>
        <w:bottom w:val="none" w:sz="0" w:space="0" w:color="auto"/>
        <w:right w:val="none" w:sz="0" w:space="0" w:color="auto"/>
      </w:divBdr>
    </w:div>
    <w:div w:id="1907302380">
      <w:bodyDiv w:val="1"/>
      <w:marLeft w:val="0"/>
      <w:marRight w:val="0"/>
      <w:marTop w:val="0"/>
      <w:marBottom w:val="0"/>
      <w:divBdr>
        <w:top w:val="none" w:sz="0" w:space="0" w:color="auto"/>
        <w:left w:val="none" w:sz="0" w:space="0" w:color="auto"/>
        <w:bottom w:val="none" w:sz="0" w:space="0" w:color="auto"/>
        <w:right w:val="none" w:sz="0" w:space="0" w:color="auto"/>
      </w:divBdr>
    </w:div>
    <w:div w:id="2137019453">
      <w:bodyDiv w:val="1"/>
      <w:marLeft w:val="0"/>
      <w:marRight w:val="0"/>
      <w:marTop w:val="0"/>
      <w:marBottom w:val="0"/>
      <w:divBdr>
        <w:top w:val="none" w:sz="0" w:space="0" w:color="auto"/>
        <w:left w:val="none" w:sz="0" w:space="0" w:color="auto"/>
        <w:bottom w:val="none" w:sz="0" w:space="0" w:color="auto"/>
        <w:right w:val="none" w:sz="0" w:space="0" w:color="auto"/>
      </w:divBdr>
    </w:div>
    <w:div w:id="21412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Historical%20Association\Survey\2013\Survey_27_05_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Historical%20Association\Survey\2012\Initial%20responses%20-%2011_6_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Historical%20Association\Survey\2013\Survey_15_8_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Historical%20Association\Survey\2013\Survey_27_05_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Historical%20Association\Survey\2012\Initial%20responses%20-%2011_6_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Historical%20Association\Survey\2013\Survey_27_05_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Historical%20Association\Survey\2013\Survey_27_05_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Historical%20Association\Survey\2013\Survey_27_05_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ropbox\Historical%20Association\HA%20survey%202013\Further%20analysis%20(GCSE,%20KS3)\Analysis%20including%20KB%20work%20on%20A%20lev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'KS3'!$R$27</c:f>
              <c:strCache>
                <c:ptCount val="1"/>
                <c:pt idx="0">
                  <c:v>Comprehensive</c:v>
                </c:pt>
              </c:strCache>
            </c:strRef>
          </c:tx>
          <c:cat>
            <c:strRef>
              <c:f>('KS3'!$T$25,'KS3'!$V$25,'KS3'!$X$25,'KS3'!$Z$25)</c:f>
              <c:strCache>
                <c:ptCount val="4"/>
                <c:pt idx="0">
                  <c:v>0%</c:v>
                </c:pt>
                <c:pt idx="1">
                  <c:v>&gt;30%</c:v>
                </c:pt>
                <c:pt idx="2">
                  <c:v>31-60%</c:v>
                </c:pt>
                <c:pt idx="3">
                  <c:v>60+%</c:v>
                </c:pt>
              </c:strCache>
            </c:strRef>
          </c:cat>
          <c:val>
            <c:numRef>
              <c:f>('KS3'!$T$27,'KS3'!$V$27,'KS3'!$X$27,'KS3'!$Z$27)</c:f>
              <c:numCache>
                <c:formatCode>0.0%</c:formatCode>
                <c:ptCount val="4"/>
                <c:pt idx="0">
                  <c:v>0.46540880503144716</c:v>
                </c:pt>
                <c:pt idx="1">
                  <c:v>0.34591194968553468</c:v>
                </c:pt>
                <c:pt idx="2">
                  <c:v>0.11320754716981135</c:v>
                </c:pt>
                <c:pt idx="3">
                  <c:v>7.5471698113207572E-2</c:v>
                </c:pt>
              </c:numCache>
            </c:numRef>
          </c:val>
        </c:ser>
        <c:ser>
          <c:idx val="1"/>
          <c:order val="1"/>
          <c:tx>
            <c:strRef>
              <c:f>'KS3'!$R$28</c:f>
              <c:strCache>
                <c:ptCount val="1"/>
                <c:pt idx="0">
                  <c:v>Grammar</c:v>
                </c:pt>
              </c:strCache>
            </c:strRef>
          </c:tx>
          <c:cat>
            <c:strRef>
              <c:f>('KS3'!$T$25,'KS3'!$V$25,'KS3'!$X$25,'KS3'!$Z$25)</c:f>
              <c:strCache>
                <c:ptCount val="4"/>
                <c:pt idx="0">
                  <c:v>0%</c:v>
                </c:pt>
                <c:pt idx="1">
                  <c:v>&gt;30%</c:v>
                </c:pt>
                <c:pt idx="2">
                  <c:v>31-60%</c:v>
                </c:pt>
                <c:pt idx="3">
                  <c:v>60+%</c:v>
                </c:pt>
              </c:strCache>
            </c:strRef>
          </c:cat>
          <c:val>
            <c:numRef>
              <c:f>('KS3'!$T$28,'KS3'!$V$28,'KS3'!$X$28,'KS3'!$Z$28)</c:f>
              <c:numCache>
                <c:formatCode>0.0%</c:formatCode>
                <c:ptCount val="4"/>
                <c:pt idx="0">
                  <c:v>0.66666666666666663</c:v>
                </c:pt>
                <c:pt idx="1">
                  <c:v>0.16666666666666669</c:v>
                </c:pt>
                <c:pt idx="2">
                  <c:v>0</c:v>
                </c:pt>
                <c:pt idx="3">
                  <c:v>0.16666666666666669</c:v>
                </c:pt>
              </c:numCache>
            </c:numRef>
          </c:val>
        </c:ser>
        <c:ser>
          <c:idx val="2"/>
          <c:order val="2"/>
          <c:tx>
            <c:strRef>
              <c:f>'KS3'!$R$29</c:f>
              <c:strCache>
                <c:ptCount val="1"/>
                <c:pt idx="0">
                  <c:v>Independents</c:v>
                </c:pt>
              </c:strCache>
            </c:strRef>
          </c:tx>
          <c:cat>
            <c:strRef>
              <c:f>('KS3'!$T$25,'KS3'!$V$25,'KS3'!$X$25,'KS3'!$Z$25)</c:f>
              <c:strCache>
                <c:ptCount val="4"/>
                <c:pt idx="0">
                  <c:v>0%</c:v>
                </c:pt>
                <c:pt idx="1">
                  <c:v>&gt;30%</c:v>
                </c:pt>
                <c:pt idx="2">
                  <c:v>31-60%</c:v>
                </c:pt>
                <c:pt idx="3">
                  <c:v>60+%</c:v>
                </c:pt>
              </c:strCache>
            </c:strRef>
          </c:cat>
          <c:val>
            <c:numRef>
              <c:f>('KS3'!$T$29,'KS3'!$V$29,'KS3'!$X$29,'KS3'!$Z$29)</c:f>
              <c:numCache>
                <c:formatCode>0.0%</c:formatCode>
                <c:ptCount val="4"/>
                <c:pt idx="0">
                  <c:v>0.79487179487179482</c:v>
                </c:pt>
                <c:pt idx="1">
                  <c:v>0.10256410256410264</c:v>
                </c:pt>
                <c:pt idx="2">
                  <c:v>7.6923076923076955E-2</c:v>
                </c:pt>
                <c:pt idx="3">
                  <c:v>2.5641025641025685E-2</c:v>
                </c:pt>
              </c:numCache>
            </c:numRef>
          </c:val>
        </c:ser>
        <c:ser>
          <c:idx val="3"/>
          <c:order val="3"/>
          <c:tx>
            <c:strRef>
              <c:f>'KS3'!$R$30</c:f>
              <c:strCache>
                <c:ptCount val="1"/>
                <c:pt idx="0">
                  <c:v>Academy</c:v>
                </c:pt>
              </c:strCache>
            </c:strRef>
          </c:tx>
          <c:cat>
            <c:strRef>
              <c:f>('KS3'!$T$25,'KS3'!$V$25,'KS3'!$X$25,'KS3'!$Z$25)</c:f>
              <c:strCache>
                <c:ptCount val="4"/>
                <c:pt idx="0">
                  <c:v>0%</c:v>
                </c:pt>
                <c:pt idx="1">
                  <c:v>&gt;30%</c:v>
                </c:pt>
                <c:pt idx="2">
                  <c:v>31-60%</c:v>
                </c:pt>
                <c:pt idx="3">
                  <c:v>60+%</c:v>
                </c:pt>
              </c:strCache>
            </c:strRef>
          </c:cat>
          <c:val>
            <c:numRef>
              <c:f>('KS3'!$T$30,'KS3'!$V$30,'KS3'!$X$30,'KS3'!$Z$30)</c:f>
              <c:numCache>
                <c:formatCode>0.0%</c:formatCode>
                <c:ptCount val="4"/>
                <c:pt idx="0">
                  <c:v>0.25</c:v>
                </c:pt>
                <c:pt idx="1">
                  <c:v>0.37500000000000033</c:v>
                </c:pt>
                <c:pt idx="2">
                  <c:v>0.125</c:v>
                </c:pt>
                <c:pt idx="3">
                  <c:v>0.25</c:v>
                </c:pt>
              </c:numCache>
            </c:numRef>
          </c:val>
        </c:ser>
        <c:ser>
          <c:idx val="4"/>
          <c:order val="4"/>
          <c:tx>
            <c:strRef>
              <c:f>'KS3'!$R$31</c:f>
              <c:strCache>
                <c:ptCount val="1"/>
                <c:pt idx="0">
                  <c:v>New Academy</c:v>
                </c:pt>
              </c:strCache>
            </c:strRef>
          </c:tx>
          <c:cat>
            <c:strRef>
              <c:f>('KS3'!$T$25,'KS3'!$V$25,'KS3'!$X$25,'KS3'!$Z$25)</c:f>
              <c:strCache>
                <c:ptCount val="4"/>
                <c:pt idx="0">
                  <c:v>0%</c:v>
                </c:pt>
                <c:pt idx="1">
                  <c:v>&gt;30%</c:v>
                </c:pt>
                <c:pt idx="2">
                  <c:v>31-60%</c:v>
                </c:pt>
                <c:pt idx="3">
                  <c:v>60+%</c:v>
                </c:pt>
              </c:strCache>
            </c:strRef>
          </c:cat>
          <c:val>
            <c:numRef>
              <c:f>('KS3'!$T$31,'KS3'!$V$31,'KS3'!$X$31,'KS3'!$Z$31)</c:f>
              <c:numCache>
                <c:formatCode>0.0%</c:formatCode>
                <c:ptCount val="4"/>
                <c:pt idx="0">
                  <c:v>0.45925925925925931</c:v>
                </c:pt>
                <c:pt idx="1">
                  <c:v>0.40740740740740738</c:v>
                </c:pt>
                <c:pt idx="2">
                  <c:v>0.12592592592592589</c:v>
                </c:pt>
                <c:pt idx="3">
                  <c:v>7.4074074074074103E-3</c:v>
                </c:pt>
              </c:numCache>
            </c:numRef>
          </c:val>
        </c:ser>
        <c:axId val="98809728"/>
        <c:axId val="98811264"/>
      </c:barChart>
      <c:catAx>
        <c:axId val="98809728"/>
        <c:scaling>
          <c:orientation val="minMax"/>
        </c:scaling>
        <c:axPos val="b"/>
        <c:tickLblPos val="nextTo"/>
        <c:crossAx val="98811264"/>
        <c:crosses val="autoZero"/>
        <c:auto val="1"/>
        <c:lblAlgn val="ctr"/>
        <c:lblOffset val="100"/>
      </c:catAx>
      <c:valAx>
        <c:axId val="98811264"/>
        <c:scaling>
          <c:orientation val="minMax"/>
        </c:scaling>
        <c:axPos val="l"/>
        <c:majorGridlines/>
        <c:numFmt formatCode="0.0%" sourceLinked="1"/>
        <c:tickLblPos val="nextTo"/>
        <c:crossAx val="9880972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'Specialist teaching GCSE'!$K$4</c:f>
              <c:strCache>
                <c:ptCount val="1"/>
                <c:pt idx="0">
                  <c:v>Comprehensive</c:v>
                </c:pt>
              </c:strCache>
            </c:strRef>
          </c:tx>
          <c:cat>
            <c:strRef>
              <c:f>'Specialist teaching GCSE'!$M$3:$P$3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GCSE'!$M$5:$P$5</c:f>
              <c:numCache>
                <c:formatCode>0.0%</c:formatCode>
                <c:ptCount val="4"/>
                <c:pt idx="0">
                  <c:v>0.86206896551724066</c:v>
                </c:pt>
                <c:pt idx="1">
                  <c:v>6.0344827586206899E-2</c:v>
                </c:pt>
                <c:pt idx="2">
                  <c:v>6.0344827586206899E-2</c:v>
                </c:pt>
                <c:pt idx="3">
                  <c:v>1.7241379310344827E-2</c:v>
                </c:pt>
              </c:numCache>
            </c:numRef>
          </c:val>
        </c:ser>
        <c:ser>
          <c:idx val="1"/>
          <c:order val="1"/>
          <c:tx>
            <c:strRef>
              <c:f>'Specialist teaching GCSE'!$K$6</c:f>
              <c:strCache>
                <c:ptCount val="1"/>
                <c:pt idx="0">
                  <c:v>Grammar</c:v>
                </c:pt>
              </c:strCache>
            </c:strRef>
          </c:tx>
          <c:cat>
            <c:strRef>
              <c:f>'Specialist teaching GCSE'!$M$3:$P$3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GCSE'!$M$7:$P$7</c:f>
              <c:numCache>
                <c:formatCode>0.0%</c:formatCode>
                <c:ptCount val="4"/>
                <c:pt idx="0">
                  <c:v>1</c:v>
                </c:pt>
                <c:pt idx="1">
                  <c:v>0</c:v>
                </c:pt>
                <c:pt idx="2">
                  <c:v>0</c:v>
                </c:pt>
                <c:pt idx="3">
                  <c:v>0</c:v>
                </c:pt>
              </c:numCache>
            </c:numRef>
          </c:val>
        </c:ser>
        <c:ser>
          <c:idx val="2"/>
          <c:order val="2"/>
          <c:tx>
            <c:strRef>
              <c:f>'Specialist teaching GCSE'!$K$8</c:f>
              <c:strCache>
                <c:ptCount val="1"/>
                <c:pt idx="0">
                  <c:v>Independent</c:v>
                </c:pt>
              </c:strCache>
            </c:strRef>
          </c:tx>
          <c:cat>
            <c:strRef>
              <c:f>'Specialist teaching GCSE'!$M$3:$P$3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GCSE'!$M$9:$P$9</c:f>
              <c:numCache>
                <c:formatCode>0.0%</c:formatCode>
                <c:ptCount val="4"/>
                <c:pt idx="0">
                  <c:v>0.96000000000000063</c:v>
                </c:pt>
                <c:pt idx="1">
                  <c:v>0</c:v>
                </c:pt>
                <c:pt idx="2">
                  <c:v>4.0000000000000022E-2</c:v>
                </c:pt>
                <c:pt idx="3">
                  <c:v>0</c:v>
                </c:pt>
              </c:numCache>
            </c:numRef>
          </c:val>
        </c:ser>
        <c:ser>
          <c:idx val="3"/>
          <c:order val="3"/>
          <c:tx>
            <c:strRef>
              <c:f>'Specialist teaching GCSE'!$K$10</c:f>
              <c:strCache>
                <c:ptCount val="1"/>
                <c:pt idx="0">
                  <c:v>Academy (old style)</c:v>
                </c:pt>
              </c:strCache>
            </c:strRef>
          </c:tx>
          <c:cat>
            <c:strRef>
              <c:f>'Specialist teaching GCSE'!$M$3:$P$3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GCSE'!$M$11:$P$11</c:f>
              <c:numCache>
                <c:formatCode>0.0%</c:formatCode>
                <c:ptCount val="4"/>
                <c:pt idx="0">
                  <c:v>0.44444444444444442</c:v>
                </c:pt>
                <c:pt idx="1">
                  <c:v>0.1111111111111111</c:v>
                </c:pt>
                <c:pt idx="2">
                  <c:v>0.33333333333333331</c:v>
                </c:pt>
                <c:pt idx="3">
                  <c:v>0.1111111111111111</c:v>
                </c:pt>
              </c:numCache>
            </c:numRef>
          </c:val>
        </c:ser>
        <c:ser>
          <c:idx val="4"/>
          <c:order val="4"/>
          <c:tx>
            <c:strRef>
              <c:f>'Specialist teaching GCSE'!$K$12</c:f>
              <c:strCache>
                <c:ptCount val="1"/>
                <c:pt idx="0">
                  <c:v>Academy (new)</c:v>
                </c:pt>
              </c:strCache>
            </c:strRef>
          </c:tx>
          <c:cat>
            <c:strRef>
              <c:f>'Specialist teaching GCSE'!$M$3:$P$3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GCSE'!$M$13:$P$13</c:f>
              <c:numCache>
                <c:formatCode>0.0%</c:formatCode>
                <c:ptCount val="4"/>
                <c:pt idx="0">
                  <c:v>0.831168831168832</c:v>
                </c:pt>
                <c:pt idx="1">
                  <c:v>9.0909090909091064E-2</c:v>
                </c:pt>
                <c:pt idx="2">
                  <c:v>6.4935064935064929E-2</c:v>
                </c:pt>
                <c:pt idx="3">
                  <c:v>1.2987012987012988E-2</c:v>
                </c:pt>
              </c:numCache>
            </c:numRef>
          </c:val>
        </c:ser>
        <c:ser>
          <c:idx val="5"/>
          <c:order val="5"/>
          <c:tx>
            <c:v>All schools</c:v>
          </c:tx>
          <c:val>
            <c:numRef>
              <c:f>'Specialist teaching GCSE'!$M$15:$P$15</c:f>
              <c:numCache>
                <c:formatCode>0.0%</c:formatCode>
                <c:ptCount val="4"/>
                <c:pt idx="0">
                  <c:v>0.84978540772532185</c:v>
                </c:pt>
                <c:pt idx="1">
                  <c:v>6.4377682403433556E-2</c:v>
                </c:pt>
                <c:pt idx="2">
                  <c:v>6.8669527896995722E-2</c:v>
                </c:pt>
                <c:pt idx="3">
                  <c:v>1.7167381974248924E-2</c:v>
                </c:pt>
              </c:numCache>
            </c:numRef>
          </c:val>
        </c:ser>
        <c:axId val="98926976"/>
        <c:axId val="98928512"/>
      </c:barChart>
      <c:catAx>
        <c:axId val="98926976"/>
        <c:scaling>
          <c:orientation val="minMax"/>
        </c:scaling>
        <c:axPos val="b"/>
        <c:tickLblPos val="nextTo"/>
        <c:crossAx val="98928512"/>
        <c:crosses val="autoZero"/>
        <c:auto val="1"/>
        <c:lblAlgn val="ctr"/>
        <c:lblOffset val="100"/>
      </c:catAx>
      <c:valAx>
        <c:axId val="98928512"/>
        <c:scaling>
          <c:orientation val="minMax"/>
          <c:max val="1"/>
        </c:scaling>
        <c:axPos val="l"/>
        <c:majorGridlines/>
        <c:numFmt formatCode="0.0%" sourceLinked="1"/>
        <c:tickLblPos val="nextTo"/>
        <c:crossAx val="9892697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v>Year 12</c:v>
          </c:tx>
          <c:cat>
            <c:strRef>
              <c:f>'Proportion at AS&amp;A2'!$C$34:$H$34</c:f>
              <c:strCache>
                <c:ptCount val="6"/>
                <c:pt idx="0">
                  <c:v>Less than 10%</c:v>
                </c:pt>
                <c:pt idx="1">
                  <c:v>11%-20%</c:v>
                </c:pt>
                <c:pt idx="2">
                  <c:v>21%-30%</c:v>
                </c:pt>
                <c:pt idx="3">
                  <c:v>31%-40%</c:v>
                </c:pt>
                <c:pt idx="4">
                  <c:v>41%-50%</c:v>
                </c:pt>
                <c:pt idx="5">
                  <c:v>More than 50%</c:v>
                </c:pt>
              </c:strCache>
            </c:strRef>
          </c:cat>
          <c:val>
            <c:numRef>
              <c:f>'Proportion at AS&amp;A2'!$C$31:$H$31</c:f>
              <c:numCache>
                <c:formatCode>0.0%</c:formatCode>
                <c:ptCount val="6"/>
                <c:pt idx="0">
                  <c:v>0.21201413427561841</c:v>
                </c:pt>
                <c:pt idx="1">
                  <c:v>0.42756183745583037</c:v>
                </c:pt>
                <c:pt idx="2">
                  <c:v>0.23674911660777403</c:v>
                </c:pt>
                <c:pt idx="3">
                  <c:v>0.1130742049469966</c:v>
                </c:pt>
                <c:pt idx="4">
                  <c:v>3.1802120141342753E-2</c:v>
                </c:pt>
                <c:pt idx="5">
                  <c:v>3.5335689045936395E-3</c:v>
                </c:pt>
              </c:numCache>
            </c:numRef>
          </c:val>
        </c:ser>
        <c:ser>
          <c:idx val="1"/>
          <c:order val="1"/>
          <c:tx>
            <c:v>Year 13</c:v>
          </c:tx>
          <c:cat>
            <c:strRef>
              <c:f>'Proportion at AS&amp;A2'!$C$34:$H$34</c:f>
              <c:strCache>
                <c:ptCount val="6"/>
                <c:pt idx="0">
                  <c:v>Less than 10%</c:v>
                </c:pt>
                <c:pt idx="1">
                  <c:v>11%-20%</c:v>
                </c:pt>
                <c:pt idx="2">
                  <c:v>21%-30%</c:v>
                </c:pt>
                <c:pt idx="3">
                  <c:v>31%-40%</c:v>
                </c:pt>
                <c:pt idx="4">
                  <c:v>41%-50%</c:v>
                </c:pt>
                <c:pt idx="5">
                  <c:v>More than 50%</c:v>
                </c:pt>
              </c:strCache>
            </c:strRef>
          </c:cat>
          <c:val>
            <c:numRef>
              <c:f>'Proportion at AS&amp;A2'!$C$48:$H$48</c:f>
              <c:numCache>
                <c:formatCode>0.0%</c:formatCode>
                <c:ptCount val="6"/>
                <c:pt idx="0">
                  <c:v>0.33695652173913104</c:v>
                </c:pt>
                <c:pt idx="1">
                  <c:v>0.43840579710144995</c:v>
                </c:pt>
                <c:pt idx="2">
                  <c:v>0.16304347826086971</c:v>
                </c:pt>
                <c:pt idx="3">
                  <c:v>6.8840579710144928E-2</c:v>
                </c:pt>
                <c:pt idx="4">
                  <c:v>1.8115942028985508E-2</c:v>
                </c:pt>
                <c:pt idx="5">
                  <c:v>3.623188405797108E-3</c:v>
                </c:pt>
              </c:numCache>
            </c:numRef>
          </c:val>
        </c:ser>
        <c:axId val="98944896"/>
        <c:axId val="98946432"/>
      </c:barChart>
      <c:catAx>
        <c:axId val="98944896"/>
        <c:scaling>
          <c:orientation val="minMax"/>
        </c:scaling>
        <c:axPos val="b"/>
        <c:tickLblPos val="nextTo"/>
        <c:crossAx val="98946432"/>
        <c:crosses val="autoZero"/>
        <c:auto val="1"/>
        <c:lblAlgn val="ctr"/>
        <c:lblOffset val="100"/>
      </c:catAx>
      <c:valAx>
        <c:axId val="98946432"/>
        <c:scaling>
          <c:orientation val="minMax"/>
          <c:max val="0.60000000000000064"/>
        </c:scaling>
        <c:axPos val="l"/>
        <c:majorGridlines/>
        <c:numFmt formatCode="0.0%" sourceLinked="1"/>
        <c:tickLblPos val="nextTo"/>
        <c:crossAx val="98944896"/>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'Proportion at AS&amp;A2'!$A$18</c:f>
              <c:strCache>
                <c:ptCount val="1"/>
                <c:pt idx="0">
                  <c:v>Sixth form</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AS&amp;A2'!$C$19:$H$19</c:f>
              <c:numCache>
                <c:formatCode>0.0%</c:formatCode>
                <c:ptCount val="6"/>
                <c:pt idx="0">
                  <c:v>0.25</c:v>
                </c:pt>
                <c:pt idx="1">
                  <c:v>0.5</c:v>
                </c:pt>
                <c:pt idx="2">
                  <c:v>0</c:v>
                </c:pt>
                <c:pt idx="3">
                  <c:v>0.25</c:v>
                </c:pt>
                <c:pt idx="4">
                  <c:v>0</c:v>
                </c:pt>
                <c:pt idx="5">
                  <c:v>0</c:v>
                </c:pt>
              </c:numCache>
            </c:numRef>
          </c:val>
        </c:ser>
        <c:ser>
          <c:idx val="1"/>
          <c:order val="1"/>
          <c:tx>
            <c:strRef>
              <c:f>'Proportion at AS&amp;A2'!$A$20</c:f>
              <c:strCache>
                <c:ptCount val="1"/>
                <c:pt idx="0">
                  <c:v>Comprehensive</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AS&amp;A2'!$C$21:$G$21</c:f>
              <c:numCache>
                <c:formatCode>0.0%</c:formatCode>
                <c:ptCount val="5"/>
                <c:pt idx="0">
                  <c:v>0.22018348623853212</c:v>
                </c:pt>
                <c:pt idx="1">
                  <c:v>0.47706422018348632</c:v>
                </c:pt>
                <c:pt idx="2">
                  <c:v>0.23853211009174324</c:v>
                </c:pt>
                <c:pt idx="3">
                  <c:v>4.5871559633027505E-2</c:v>
                </c:pt>
                <c:pt idx="4">
                  <c:v>1.8348623853211021E-2</c:v>
                </c:pt>
              </c:numCache>
            </c:numRef>
          </c:val>
        </c:ser>
        <c:ser>
          <c:idx val="2"/>
          <c:order val="2"/>
          <c:tx>
            <c:strRef>
              <c:f>'Proportion at AS&amp;A2'!$A$22</c:f>
              <c:strCache>
                <c:ptCount val="1"/>
                <c:pt idx="0">
                  <c:v>Grammar</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AS&amp;A2'!$C$23:$G$23</c:f>
              <c:numCache>
                <c:formatCode>0.0%</c:formatCode>
                <c:ptCount val="5"/>
                <c:pt idx="0">
                  <c:v>0</c:v>
                </c:pt>
                <c:pt idx="1">
                  <c:v>0.14285714285714307</c:v>
                </c:pt>
                <c:pt idx="2">
                  <c:v>0.28571428571428614</c:v>
                </c:pt>
                <c:pt idx="3">
                  <c:v>0.28571428571428614</c:v>
                </c:pt>
                <c:pt idx="4">
                  <c:v>0.28571428571428614</c:v>
                </c:pt>
              </c:numCache>
            </c:numRef>
          </c:val>
        </c:ser>
        <c:ser>
          <c:idx val="3"/>
          <c:order val="3"/>
          <c:tx>
            <c:strRef>
              <c:f>'Proportion at AS&amp;A2'!$A$24</c:f>
              <c:strCache>
                <c:ptCount val="1"/>
                <c:pt idx="0">
                  <c:v>Independent</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AS&amp;A2'!$C$25:$H$25</c:f>
              <c:numCache>
                <c:formatCode>0.0%</c:formatCode>
                <c:ptCount val="6"/>
                <c:pt idx="0">
                  <c:v>0.11428571428571441</c:v>
                </c:pt>
                <c:pt idx="1">
                  <c:v>0.34285714285714286</c:v>
                </c:pt>
                <c:pt idx="2">
                  <c:v>0.28571428571428614</c:v>
                </c:pt>
                <c:pt idx="3">
                  <c:v>0.17142857142857137</c:v>
                </c:pt>
                <c:pt idx="4">
                  <c:v>5.7142857142857141E-2</c:v>
                </c:pt>
                <c:pt idx="5">
                  <c:v>2.8571428571428591E-2</c:v>
                </c:pt>
              </c:numCache>
            </c:numRef>
          </c:val>
        </c:ser>
        <c:ser>
          <c:idx val="4"/>
          <c:order val="4"/>
          <c:tx>
            <c:strRef>
              <c:f>'Proportion at AS&amp;A2'!$A$26</c:f>
              <c:strCache>
                <c:ptCount val="1"/>
                <c:pt idx="0">
                  <c:v>Academy (old style)</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AS&amp;A2'!$C$27:$G$27</c:f>
              <c:numCache>
                <c:formatCode>0.0%</c:formatCode>
                <c:ptCount val="5"/>
                <c:pt idx="0">
                  <c:v>0.42857142857142855</c:v>
                </c:pt>
                <c:pt idx="1">
                  <c:v>0.35714285714285776</c:v>
                </c:pt>
                <c:pt idx="2">
                  <c:v>0.14285714285714307</c:v>
                </c:pt>
                <c:pt idx="3">
                  <c:v>7.1428571428571425E-2</c:v>
                </c:pt>
                <c:pt idx="4">
                  <c:v>0</c:v>
                </c:pt>
              </c:numCache>
            </c:numRef>
          </c:val>
        </c:ser>
        <c:ser>
          <c:idx val="5"/>
          <c:order val="5"/>
          <c:tx>
            <c:strRef>
              <c:f>'Proportion at AS&amp;A2'!$A$28</c:f>
              <c:strCache>
                <c:ptCount val="1"/>
                <c:pt idx="0">
                  <c:v>Academy (new)</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AS&amp;A2'!$C$29:$H$29</c:f>
              <c:numCache>
                <c:formatCode>0.0%</c:formatCode>
                <c:ptCount val="6"/>
                <c:pt idx="0">
                  <c:v>0.20338983050847481</c:v>
                </c:pt>
                <c:pt idx="1">
                  <c:v>0.39830508474576326</c:v>
                </c:pt>
                <c:pt idx="2">
                  <c:v>0.2288135593220339</c:v>
                </c:pt>
                <c:pt idx="3">
                  <c:v>0.13559322033898305</c:v>
                </c:pt>
                <c:pt idx="4">
                  <c:v>2.5423728813559358E-2</c:v>
                </c:pt>
                <c:pt idx="5">
                  <c:v>8.474576271186458E-3</c:v>
                </c:pt>
              </c:numCache>
            </c:numRef>
          </c:val>
        </c:ser>
        <c:axId val="131246720"/>
        <c:axId val="131256704"/>
      </c:barChart>
      <c:catAx>
        <c:axId val="131246720"/>
        <c:scaling>
          <c:orientation val="minMax"/>
        </c:scaling>
        <c:axPos val="b"/>
        <c:tickLblPos val="nextTo"/>
        <c:crossAx val="131256704"/>
        <c:crosses val="autoZero"/>
        <c:auto val="1"/>
        <c:lblAlgn val="ctr"/>
        <c:lblOffset val="100"/>
      </c:catAx>
      <c:valAx>
        <c:axId val="131256704"/>
        <c:scaling>
          <c:orientation val="minMax"/>
        </c:scaling>
        <c:axPos val="l"/>
        <c:majorGridlines/>
        <c:numFmt formatCode="0.0%" sourceLinked="1"/>
        <c:tickLblPos val="nextTo"/>
        <c:crossAx val="131246720"/>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'Proportion at AS&amp;A2'!$A$35</c:f>
              <c:strCache>
                <c:ptCount val="1"/>
                <c:pt idx="0">
                  <c:v>Sixth form</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AS&amp;A2'!$C$36:$H$36</c:f>
              <c:numCache>
                <c:formatCode>0.0%</c:formatCode>
                <c:ptCount val="6"/>
                <c:pt idx="0">
                  <c:v>0.62500000000000078</c:v>
                </c:pt>
                <c:pt idx="1">
                  <c:v>0.25</c:v>
                </c:pt>
                <c:pt idx="2">
                  <c:v>0</c:v>
                </c:pt>
                <c:pt idx="3">
                  <c:v>0.125</c:v>
                </c:pt>
                <c:pt idx="4">
                  <c:v>0</c:v>
                </c:pt>
                <c:pt idx="5">
                  <c:v>0</c:v>
                </c:pt>
              </c:numCache>
            </c:numRef>
          </c:val>
        </c:ser>
        <c:ser>
          <c:idx val="1"/>
          <c:order val="1"/>
          <c:tx>
            <c:strRef>
              <c:f>'Proportion at AS&amp;A2'!$A$37</c:f>
              <c:strCache>
                <c:ptCount val="1"/>
                <c:pt idx="0">
                  <c:v>Comprehensive</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AS&amp;A2'!$C$38:$H$38</c:f>
              <c:numCache>
                <c:formatCode>0.0%</c:formatCode>
                <c:ptCount val="6"/>
                <c:pt idx="0">
                  <c:v>0.37962962962963026</c:v>
                </c:pt>
                <c:pt idx="1">
                  <c:v>0.41666666666666707</c:v>
                </c:pt>
                <c:pt idx="2">
                  <c:v>0.17592592592592593</c:v>
                </c:pt>
                <c:pt idx="3">
                  <c:v>1.8518518518518538E-2</c:v>
                </c:pt>
                <c:pt idx="4">
                  <c:v>9.2592592592592813E-3</c:v>
                </c:pt>
                <c:pt idx="5">
                  <c:v>0</c:v>
                </c:pt>
              </c:numCache>
            </c:numRef>
          </c:val>
        </c:ser>
        <c:ser>
          <c:idx val="2"/>
          <c:order val="2"/>
          <c:tx>
            <c:strRef>
              <c:f>'Proportion at AS&amp;A2'!$A$39</c:f>
              <c:strCache>
                <c:ptCount val="1"/>
                <c:pt idx="0">
                  <c:v>Grammar</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AS&amp;A2'!$C$40:$H$40</c:f>
              <c:numCache>
                <c:formatCode>0.0%</c:formatCode>
                <c:ptCount val="6"/>
                <c:pt idx="0">
                  <c:v>0</c:v>
                </c:pt>
                <c:pt idx="1">
                  <c:v>0.14285714285714307</c:v>
                </c:pt>
                <c:pt idx="2">
                  <c:v>0.57142857142857229</c:v>
                </c:pt>
                <c:pt idx="3">
                  <c:v>0</c:v>
                </c:pt>
                <c:pt idx="4">
                  <c:v>0.28571428571428614</c:v>
                </c:pt>
                <c:pt idx="5">
                  <c:v>0</c:v>
                </c:pt>
              </c:numCache>
            </c:numRef>
          </c:val>
        </c:ser>
        <c:ser>
          <c:idx val="3"/>
          <c:order val="3"/>
          <c:tx>
            <c:strRef>
              <c:f>'Proportion at AS&amp;A2'!$A$41</c:f>
              <c:strCache>
                <c:ptCount val="1"/>
                <c:pt idx="0">
                  <c:v>Independent</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AS&amp;A2'!$C$42:$H$42</c:f>
              <c:numCache>
                <c:formatCode>0.0%</c:formatCode>
                <c:ptCount val="6"/>
                <c:pt idx="0">
                  <c:v>0.17647058823529421</c:v>
                </c:pt>
                <c:pt idx="1">
                  <c:v>0.47058823529411814</c:v>
                </c:pt>
                <c:pt idx="2">
                  <c:v>0.11764705882352942</c:v>
                </c:pt>
                <c:pt idx="3">
                  <c:v>0.17647058823529421</c:v>
                </c:pt>
                <c:pt idx="4">
                  <c:v>5.8823529411764705E-2</c:v>
                </c:pt>
                <c:pt idx="5">
                  <c:v>0</c:v>
                </c:pt>
              </c:numCache>
            </c:numRef>
          </c:val>
        </c:ser>
        <c:ser>
          <c:idx val="4"/>
          <c:order val="4"/>
          <c:tx>
            <c:strRef>
              <c:f>'Proportion at AS&amp;A2'!$A$43</c:f>
              <c:strCache>
                <c:ptCount val="1"/>
                <c:pt idx="0">
                  <c:v>Academy (old style)</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AS&amp;A2'!$C$44:$H$44</c:f>
              <c:numCache>
                <c:formatCode>0.0%</c:formatCode>
                <c:ptCount val="6"/>
                <c:pt idx="0">
                  <c:v>0.46153846153846195</c:v>
                </c:pt>
                <c:pt idx="1">
                  <c:v>0.3846153846153848</c:v>
                </c:pt>
                <c:pt idx="2">
                  <c:v>0.15384615384615413</c:v>
                </c:pt>
                <c:pt idx="3">
                  <c:v>0</c:v>
                </c:pt>
                <c:pt idx="4">
                  <c:v>0</c:v>
                </c:pt>
                <c:pt idx="5">
                  <c:v>0</c:v>
                </c:pt>
              </c:numCache>
            </c:numRef>
          </c:val>
        </c:ser>
        <c:ser>
          <c:idx val="5"/>
          <c:order val="5"/>
          <c:tx>
            <c:strRef>
              <c:f>'Proportion at AS&amp;A2'!$A$45</c:f>
              <c:strCache>
                <c:ptCount val="1"/>
                <c:pt idx="0">
                  <c:v>Academy (new)</c:v>
                </c:pt>
              </c:strCache>
            </c:strRef>
          </c:tx>
          <c:cat>
            <c:strRef>
              <c:f>'Proportion at AS&amp;A2'!$C$17:$H$17</c:f>
              <c:strCache>
                <c:ptCount val="6"/>
                <c:pt idx="0">
                  <c:v>Less than 10%</c:v>
                </c:pt>
                <c:pt idx="1">
                  <c:v>11%-20%</c:v>
                </c:pt>
                <c:pt idx="2">
                  <c:v>21%-30%</c:v>
                </c:pt>
                <c:pt idx="3">
                  <c:v>31%-40%</c:v>
                </c:pt>
                <c:pt idx="4">
                  <c:v>41%-50%</c:v>
                </c:pt>
                <c:pt idx="5">
                  <c:v>More than 50%</c:v>
                </c:pt>
              </c:strCache>
            </c:strRef>
          </c:cat>
          <c:val>
            <c:numRef>
              <c:f>'Proportion at AS&amp;A2'!$C$46:$H$46</c:f>
              <c:numCache>
                <c:formatCode>0.0%</c:formatCode>
                <c:ptCount val="6"/>
                <c:pt idx="0">
                  <c:v>0.30701754385964991</c:v>
                </c:pt>
                <c:pt idx="1">
                  <c:v>0.45614035087719279</c:v>
                </c:pt>
                <c:pt idx="2">
                  <c:v>0.14035087719298245</c:v>
                </c:pt>
                <c:pt idx="3">
                  <c:v>8.771929824561403E-2</c:v>
                </c:pt>
                <c:pt idx="4">
                  <c:v>0</c:v>
                </c:pt>
                <c:pt idx="5">
                  <c:v>8.771929824561403E-3</c:v>
                </c:pt>
              </c:numCache>
            </c:numRef>
          </c:val>
        </c:ser>
        <c:axId val="131689856"/>
        <c:axId val="131703936"/>
      </c:barChart>
      <c:catAx>
        <c:axId val="131689856"/>
        <c:scaling>
          <c:orientation val="minMax"/>
        </c:scaling>
        <c:axPos val="b"/>
        <c:tickLblPos val="nextTo"/>
        <c:crossAx val="131703936"/>
        <c:crosses val="autoZero"/>
        <c:auto val="1"/>
        <c:lblAlgn val="ctr"/>
        <c:lblOffset val="100"/>
      </c:catAx>
      <c:valAx>
        <c:axId val="131703936"/>
        <c:scaling>
          <c:orientation val="minMax"/>
        </c:scaling>
        <c:axPos val="l"/>
        <c:majorGridlines/>
        <c:numFmt formatCode="0.0%" sourceLinked="1"/>
        <c:tickLblPos val="nextTo"/>
        <c:crossAx val="131689856"/>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'Changes in Alevel uptake'!$A$3</c:f>
              <c:strCache>
                <c:ptCount val="1"/>
                <c:pt idx="0">
                  <c:v>Sixth form college</c:v>
                </c:pt>
              </c:strCache>
            </c:strRef>
          </c:tx>
          <c:cat>
            <c:strRef>
              <c:f>'Changes in Alevel uptake'!$B$2:$E$2</c:f>
              <c:strCache>
                <c:ptCount val="4"/>
                <c:pt idx="0">
                  <c:v>Decreased</c:v>
                </c:pt>
                <c:pt idx="1">
                  <c:v>Increased</c:v>
                </c:pt>
                <c:pt idx="2">
                  <c:v>Stayed the same</c:v>
                </c:pt>
                <c:pt idx="3">
                  <c:v>Varies evey year</c:v>
                </c:pt>
              </c:strCache>
            </c:strRef>
          </c:cat>
          <c:val>
            <c:numRef>
              <c:f>'Changes in Alevel uptake'!$B$4:$E$4</c:f>
              <c:numCache>
                <c:formatCode>0.0%</c:formatCode>
                <c:ptCount val="4"/>
                <c:pt idx="0">
                  <c:v>0</c:v>
                </c:pt>
                <c:pt idx="1">
                  <c:v>0.5</c:v>
                </c:pt>
                <c:pt idx="2">
                  <c:v>0.25</c:v>
                </c:pt>
                <c:pt idx="3">
                  <c:v>0.25</c:v>
                </c:pt>
              </c:numCache>
            </c:numRef>
          </c:val>
        </c:ser>
        <c:ser>
          <c:idx val="1"/>
          <c:order val="1"/>
          <c:tx>
            <c:strRef>
              <c:f>'Changes in Alevel uptake'!$A$5</c:f>
              <c:strCache>
                <c:ptCount val="1"/>
                <c:pt idx="0">
                  <c:v>Comprehensive</c:v>
                </c:pt>
              </c:strCache>
            </c:strRef>
          </c:tx>
          <c:cat>
            <c:strRef>
              <c:f>'Changes in Alevel uptake'!$B$2:$E$2</c:f>
              <c:strCache>
                <c:ptCount val="4"/>
                <c:pt idx="0">
                  <c:v>Decreased</c:v>
                </c:pt>
                <c:pt idx="1">
                  <c:v>Increased</c:v>
                </c:pt>
                <c:pt idx="2">
                  <c:v>Stayed the same</c:v>
                </c:pt>
                <c:pt idx="3">
                  <c:v>Varies evey year</c:v>
                </c:pt>
              </c:strCache>
            </c:strRef>
          </c:cat>
          <c:val>
            <c:numRef>
              <c:f>'Changes in Alevel uptake'!$B$6:$E$6</c:f>
              <c:numCache>
                <c:formatCode>0.0%</c:formatCode>
                <c:ptCount val="4"/>
                <c:pt idx="0">
                  <c:v>6.4814814814814908E-2</c:v>
                </c:pt>
                <c:pt idx="1">
                  <c:v>0.24074074074074092</c:v>
                </c:pt>
                <c:pt idx="2">
                  <c:v>0.2592592592592593</c:v>
                </c:pt>
                <c:pt idx="3">
                  <c:v>0.43518518518518556</c:v>
                </c:pt>
              </c:numCache>
            </c:numRef>
          </c:val>
        </c:ser>
        <c:ser>
          <c:idx val="2"/>
          <c:order val="2"/>
          <c:tx>
            <c:strRef>
              <c:f>'Changes in Alevel uptake'!$A$7</c:f>
              <c:strCache>
                <c:ptCount val="1"/>
                <c:pt idx="0">
                  <c:v>Grammar</c:v>
                </c:pt>
              </c:strCache>
            </c:strRef>
          </c:tx>
          <c:cat>
            <c:strRef>
              <c:f>'Changes in Alevel uptake'!$B$2:$E$2</c:f>
              <c:strCache>
                <c:ptCount val="4"/>
                <c:pt idx="0">
                  <c:v>Decreased</c:v>
                </c:pt>
                <c:pt idx="1">
                  <c:v>Increased</c:v>
                </c:pt>
                <c:pt idx="2">
                  <c:v>Stayed the same</c:v>
                </c:pt>
                <c:pt idx="3">
                  <c:v>Varies evey year</c:v>
                </c:pt>
              </c:strCache>
            </c:strRef>
          </c:cat>
          <c:val>
            <c:numRef>
              <c:f>'Changes in Alevel uptake'!$B$8:$E$8</c:f>
              <c:numCache>
                <c:formatCode>0.0%</c:formatCode>
                <c:ptCount val="4"/>
                <c:pt idx="0">
                  <c:v>0</c:v>
                </c:pt>
                <c:pt idx="1">
                  <c:v>0.16666666666666666</c:v>
                </c:pt>
                <c:pt idx="2">
                  <c:v>0.16666666666666666</c:v>
                </c:pt>
                <c:pt idx="3">
                  <c:v>0.66666666666666663</c:v>
                </c:pt>
              </c:numCache>
            </c:numRef>
          </c:val>
        </c:ser>
        <c:ser>
          <c:idx val="3"/>
          <c:order val="3"/>
          <c:tx>
            <c:strRef>
              <c:f>'Changes in Alevel uptake'!$A$9</c:f>
              <c:strCache>
                <c:ptCount val="1"/>
                <c:pt idx="0">
                  <c:v>Independent</c:v>
                </c:pt>
              </c:strCache>
            </c:strRef>
          </c:tx>
          <c:cat>
            <c:strRef>
              <c:f>'Changes in Alevel uptake'!$B$2:$E$2</c:f>
              <c:strCache>
                <c:ptCount val="4"/>
                <c:pt idx="0">
                  <c:v>Decreased</c:v>
                </c:pt>
                <c:pt idx="1">
                  <c:v>Increased</c:v>
                </c:pt>
                <c:pt idx="2">
                  <c:v>Stayed the same</c:v>
                </c:pt>
                <c:pt idx="3">
                  <c:v>Varies evey year</c:v>
                </c:pt>
              </c:strCache>
            </c:strRef>
          </c:cat>
          <c:val>
            <c:numRef>
              <c:f>'Changes in Alevel uptake'!$B$10:$E$10</c:f>
              <c:numCache>
                <c:formatCode>0.0%</c:formatCode>
                <c:ptCount val="4"/>
                <c:pt idx="0">
                  <c:v>0.11428571428571441</c:v>
                </c:pt>
                <c:pt idx="1">
                  <c:v>0.17142857142857137</c:v>
                </c:pt>
                <c:pt idx="2">
                  <c:v>0.28571428571428614</c:v>
                </c:pt>
                <c:pt idx="3">
                  <c:v>0.42857142857142855</c:v>
                </c:pt>
              </c:numCache>
            </c:numRef>
          </c:val>
        </c:ser>
        <c:ser>
          <c:idx val="4"/>
          <c:order val="4"/>
          <c:tx>
            <c:strRef>
              <c:f>'Changes in Alevel uptake'!$A$11</c:f>
              <c:strCache>
                <c:ptCount val="1"/>
                <c:pt idx="0">
                  <c:v>Academy (old style)</c:v>
                </c:pt>
              </c:strCache>
            </c:strRef>
          </c:tx>
          <c:cat>
            <c:strRef>
              <c:f>'Changes in Alevel uptake'!$B$2:$E$2</c:f>
              <c:strCache>
                <c:ptCount val="4"/>
                <c:pt idx="0">
                  <c:v>Decreased</c:v>
                </c:pt>
                <c:pt idx="1">
                  <c:v>Increased</c:v>
                </c:pt>
                <c:pt idx="2">
                  <c:v>Stayed the same</c:v>
                </c:pt>
                <c:pt idx="3">
                  <c:v>Varies evey year</c:v>
                </c:pt>
              </c:strCache>
            </c:strRef>
          </c:cat>
          <c:val>
            <c:numRef>
              <c:f>'Changes in Alevel uptake'!$B$12:$E$12</c:f>
              <c:numCache>
                <c:formatCode>0.0%</c:formatCode>
                <c:ptCount val="4"/>
                <c:pt idx="0">
                  <c:v>0</c:v>
                </c:pt>
                <c:pt idx="1">
                  <c:v>0.33333333333333331</c:v>
                </c:pt>
                <c:pt idx="2">
                  <c:v>0.25</c:v>
                </c:pt>
                <c:pt idx="3">
                  <c:v>0.41666666666666707</c:v>
                </c:pt>
              </c:numCache>
            </c:numRef>
          </c:val>
        </c:ser>
        <c:ser>
          <c:idx val="5"/>
          <c:order val="5"/>
          <c:tx>
            <c:strRef>
              <c:f>'Changes in Alevel uptake'!$A$13</c:f>
              <c:strCache>
                <c:ptCount val="1"/>
                <c:pt idx="0">
                  <c:v>Academy (new) </c:v>
                </c:pt>
              </c:strCache>
            </c:strRef>
          </c:tx>
          <c:cat>
            <c:strRef>
              <c:f>'Changes in Alevel uptake'!$B$2:$E$2</c:f>
              <c:strCache>
                <c:ptCount val="4"/>
                <c:pt idx="0">
                  <c:v>Decreased</c:v>
                </c:pt>
                <c:pt idx="1">
                  <c:v>Increased</c:v>
                </c:pt>
                <c:pt idx="2">
                  <c:v>Stayed the same</c:v>
                </c:pt>
                <c:pt idx="3">
                  <c:v>Varies evey year</c:v>
                </c:pt>
              </c:strCache>
            </c:strRef>
          </c:cat>
          <c:val>
            <c:numRef>
              <c:f>'Changes in Alevel uptake'!$B$14:$E$14</c:f>
              <c:numCache>
                <c:formatCode>0.0%</c:formatCode>
                <c:ptCount val="4"/>
                <c:pt idx="0">
                  <c:v>6.7796610169491678E-2</c:v>
                </c:pt>
                <c:pt idx="1">
                  <c:v>0.26271186440677963</c:v>
                </c:pt>
                <c:pt idx="2">
                  <c:v>0.28813559322033899</c:v>
                </c:pt>
                <c:pt idx="3">
                  <c:v>0.38135593220338981</c:v>
                </c:pt>
              </c:numCache>
            </c:numRef>
          </c:val>
        </c:ser>
        <c:ser>
          <c:idx val="6"/>
          <c:order val="6"/>
          <c:tx>
            <c:v>All schools</c:v>
          </c:tx>
          <c:cat>
            <c:strRef>
              <c:f>'Changes in Alevel uptake'!$B$2:$E$2</c:f>
              <c:strCache>
                <c:ptCount val="4"/>
                <c:pt idx="0">
                  <c:v>Decreased</c:v>
                </c:pt>
                <c:pt idx="1">
                  <c:v>Increased</c:v>
                </c:pt>
                <c:pt idx="2">
                  <c:v>Stayed the same</c:v>
                </c:pt>
                <c:pt idx="3">
                  <c:v>Varies evey year</c:v>
                </c:pt>
              </c:strCache>
            </c:strRef>
          </c:cat>
          <c:val>
            <c:numRef>
              <c:f>'Changes in Alevel uptake'!$B$16:$E$16</c:f>
              <c:numCache>
                <c:formatCode>0.0%</c:formatCode>
                <c:ptCount val="4"/>
                <c:pt idx="0">
                  <c:v>6.6202090592334492E-2</c:v>
                </c:pt>
                <c:pt idx="1">
                  <c:v>0.25087108013937282</c:v>
                </c:pt>
                <c:pt idx="2">
                  <c:v>0.27177700348432055</c:v>
                </c:pt>
                <c:pt idx="3">
                  <c:v>0.4111498257839723</c:v>
                </c:pt>
              </c:numCache>
            </c:numRef>
          </c:val>
        </c:ser>
        <c:axId val="131744896"/>
        <c:axId val="131746432"/>
      </c:barChart>
      <c:catAx>
        <c:axId val="131744896"/>
        <c:scaling>
          <c:orientation val="minMax"/>
        </c:scaling>
        <c:axPos val="b"/>
        <c:tickLblPos val="nextTo"/>
        <c:crossAx val="131746432"/>
        <c:crosses val="autoZero"/>
        <c:auto val="1"/>
        <c:lblAlgn val="ctr"/>
        <c:lblOffset val="100"/>
      </c:catAx>
      <c:valAx>
        <c:axId val="131746432"/>
        <c:scaling>
          <c:orientation val="minMax"/>
        </c:scaling>
        <c:axPos val="l"/>
        <c:majorGridlines/>
        <c:numFmt formatCode="0.0%" sourceLinked="1"/>
        <c:tickLblPos val="nextTo"/>
        <c:crossAx val="131744896"/>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'Changes in Alevel uptake'!$A$21</c:f>
              <c:strCache>
                <c:ptCount val="1"/>
                <c:pt idx="0">
                  <c:v>Sixth form college</c:v>
                </c:pt>
              </c:strCache>
            </c:strRef>
          </c:tx>
          <c:cat>
            <c:strRef>
              <c:f>'Changes in Alevel uptake'!$B$20:$E$20</c:f>
              <c:strCache>
                <c:ptCount val="4"/>
                <c:pt idx="0">
                  <c:v>Decreased</c:v>
                </c:pt>
                <c:pt idx="1">
                  <c:v>Increased</c:v>
                </c:pt>
                <c:pt idx="2">
                  <c:v>Stayed the same</c:v>
                </c:pt>
                <c:pt idx="3">
                  <c:v>Varies evey year </c:v>
                </c:pt>
              </c:strCache>
            </c:strRef>
          </c:cat>
          <c:val>
            <c:numRef>
              <c:f>'Changes in Alevel uptake'!$B$22:$E$22</c:f>
              <c:numCache>
                <c:formatCode>0.0%</c:formatCode>
                <c:ptCount val="4"/>
                <c:pt idx="0">
                  <c:v>0.25</c:v>
                </c:pt>
                <c:pt idx="1">
                  <c:v>0.37500000000000033</c:v>
                </c:pt>
                <c:pt idx="2">
                  <c:v>0.25</c:v>
                </c:pt>
                <c:pt idx="3">
                  <c:v>0.125</c:v>
                </c:pt>
              </c:numCache>
            </c:numRef>
          </c:val>
        </c:ser>
        <c:ser>
          <c:idx val="1"/>
          <c:order val="1"/>
          <c:tx>
            <c:strRef>
              <c:f>'Changes in Alevel uptake'!$A$23</c:f>
              <c:strCache>
                <c:ptCount val="1"/>
                <c:pt idx="0">
                  <c:v>Comprehensive</c:v>
                </c:pt>
              </c:strCache>
            </c:strRef>
          </c:tx>
          <c:cat>
            <c:strRef>
              <c:f>'Changes in Alevel uptake'!$B$20:$E$20</c:f>
              <c:strCache>
                <c:ptCount val="4"/>
                <c:pt idx="0">
                  <c:v>Decreased</c:v>
                </c:pt>
                <c:pt idx="1">
                  <c:v>Increased</c:v>
                </c:pt>
                <c:pt idx="2">
                  <c:v>Stayed the same</c:v>
                </c:pt>
                <c:pt idx="3">
                  <c:v>Varies evey year </c:v>
                </c:pt>
              </c:strCache>
            </c:strRef>
          </c:cat>
          <c:val>
            <c:numRef>
              <c:f>'Changes in Alevel uptake'!$B$24:$E$24</c:f>
              <c:numCache>
                <c:formatCode>0.0%</c:formatCode>
                <c:ptCount val="4"/>
                <c:pt idx="0">
                  <c:v>0.10185185185185186</c:v>
                </c:pt>
                <c:pt idx="1">
                  <c:v>0.16666666666666666</c:v>
                </c:pt>
                <c:pt idx="2">
                  <c:v>0.27777777777777818</c:v>
                </c:pt>
                <c:pt idx="3">
                  <c:v>0.45370370370370372</c:v>
                </c:pt>
              </c:numCache>
            </c:numRef>
          </c:val>
        </c:ser>
        <c:ser>
          <c:idx val="2"/>
          <c:order val="2"/>
          <c:tx>
            <c:strRef>
              <c:f>'Changes in Alevel uptake'!$A$25</c:f>
              <c:strCache>
                <c:ptCount val="1"/>
                <c:pt idx="0">
                  <c:v>Grammar</c:v>
                </c:pt>
              </c:strCache>
            </c:strRef>
          </c:tx>
          <c:cat>
            <c:strRef>
              <c:f>'Changes in Alevel uptake'!$B$20:$E$20</c:f>
              <c:strCache>
                <c:ptCount val="4"/>
                <c:pt idx="0">
                  <c:v>Decreased</c:v>
                </c:pt>
                <c:pt idx="1">
                  <c:v>Increased</c:v>
                </c:pt>
                <c:pt idx="2">
                  <c:v>Stayed the same</c:v>
                </c:pt>
                <c:pt idx="3">
                  <c:v>Varies evey year </c:v>
                </c:pt>
              </c:strCache>
            </c:strRef>
          </c:cat>
          <c:val>
            <c:numRef>
              <c:f>'Changes in Alevel uptake'!$B$26:$E$26</c:f>
              <c:numCache>
                <c:formatCode>0.0%</c:formatCode>
                <c:ptCount val="4"/>
                <c:pt idx="0">
                  <c:v>0.14285714285714307</c:v>
                </c:pt>
                <c:pt idx="1">
                  <c:v>0.14285714285714307</c:v>
                </c:pt>
                <c:pt idx="2">
                  <c:v>0.28571428571428614</c:v>
                </c:pt>
                <c:pt idx="3">
                  <c:v>0.42857142857142855</c:v>
                </c:pt>
              </c:numCache>
            </c:numRef>
          </c:val>
        </c:ser>
        <c:ser>
          <c:idx val="3"/>
          <c:order val="3"/>
          <c:tx>
            <c:strRef>
              <c:f>'Changes in Alevel uptake'!$A$27</c:f>
              <c:strCache>
                <c:ptCount val="1"/>
                <c:pt idx="0">
                  <c:v>Independent</c:v>
                </c:pt>
              </c:strCache>
            </c:strRef>
          </c:tx>
          <c:cat>
            <c:strRef>
              <c:f>'Changes in Alevel uptake'!$B$20:$E$20</c:f>
              <c:strCache>
                <c:ptCount val="4"/>
                <c:pt idx="0">
                  <c:v>Decreased</c:v>
                </c:pt>
                <c:pt idx="1">
                  <c:v>Increased</c:v>
                </c:pt>
                <c:pt idx="2">
                  <c:v>Stayed the same</c:v>
                </c:pt>
                <c:pt idx="3">
                  <c:v>Varies evey year </c:v>
                </c:pt>
              </c:strCache>
            </c:strRef>
          </c:cat>
          <c:val>
            <c:numRef>
              <c:f>'Changes in Alevel uptake'!$B$28:$E$28</c:f>
              <c:numCache>
                <c:formatCode>0.0%</c:formatCode>
                <c:ptCount val="4"/>
                <c:pt idx="0">
                  <c:v>0.1212121212121213</c:v>
                </c:pt>
                <c:pt idx="1">
                  <c:v>6.0606060606060622E-2</c:v>
                </c:pt>
                <c:pt idx="2">
                  <c:v>0.39393939393939442</c:v>
                </c:pt>
                <c:pt idx="3">
                  <c:v>0.42424242424242431</c:v>
                </c:pt>
              </c:numCache>
            </c:numRef>
          </c:val>
        </c:ser>
        <c:ser>
          <c:idx val="4"/>
          <c:order val="4"/>
          <c:tx>
            <c:strRef>
              <c:f>'Changes in Alevel uptake'!$A$29</c:f>
              <c:strCache>
                <c:ptCount val="1"/>
                <c:pt idx="0">
                  <c:v>Academy (old style)</c:v>
                </c:pt>
              </c:strCache>
            </c:strRef>
          </c:tx>
          <c:cat>
            <c:strRef>
              <c:f>'Changes in Alevel uptake'!$B$20:$E$20</c:f>
              <c:strCache>
                <c:ptCount val="4"/>
                <c:pt idx="0">
                  <c:v>Decreased</c:v>
                </c:pt>
                <c:pt idx="1">
                  <c:v>Increased</c:v>
                </c:pt>
                <c:pt idx="2">
                  <c:v>Stayed the same</c:v>
                </c:pt>
                <c:pt idx="3">
                  <c:v>Varies evey year </c:v>
                </c:pt>
              </c:strCache>
            </c:strRef>
          </c:cat>
          <c:val>
            <c:numRef>
              <c:f>'Changes in Alevel uptake'!$B$30:$E$30</c:f>
              <c:numCache>
                <c:formatCode>0.0%</c:formatCode>
                <c:ptCount val="4"/>
                <c:pt idx="0">
                  <c:v>0</c:v>
                </c:pt>
                <c:pt idx="1">
                  <c:v>0.25</c:v>
                </c:pt>
                <c:pt idx="2">
                  <c:v>0.33333333333333331</c:v>
                </c:pt>
                <c:pt idx="3">
                  <c:v>0.41666666666666707</c:v>
                </c:pt>
              </c:numCache>
            </c:numRef>
          </c:val>
        </c:ser>
        <c:ser>
          <c:idx val="5"/>
          <c:order val="5"/>
          <c:tx>
            <c:strRef>
              <c:f>'Changes in Alevel uptake'!$A$31</c:f>
              <c:strCache>
                <c:ptCount val="1"/>
                <c:pt idx="0">
                  <c:v>Academy (new)</c:v>
                </c:pt>
              </c:strCache>
            </c:strRef>
          </c:tx>
          <c:cat>
            <c:strRef>
              <c:f>'Changes in Alevel uptake'!$B$20:$E$20</c:f>
              <c:strCache>
                <c:ptCount val="4"/>
                <c:pt idx="0">
                  <c:v>Decreased</c:v>
                </c:pt>
                <c:pt idx="1">
                  <c:v>Increased</c:v>
                </c:pt>
                <c:pt idx="2">
                  <c:v>Stayed the same</c:v>
                </c:pt>
                <c:pt idx="3">
                  <c:v>Varies evey year </c:v>
                </c:pt>
              </c:strCache>
            </c:strRef>
          </c:cat>
          <c:val>
            <c:numRef>
              <c:f>'Changes in Alevel uptake'!$B$32:$E$32</c:f>
              <c:numCache>
                <c:formatCode>0.0%</c:formatCode>
                <c:ptCount val="4"/>
                <c:pt idx="0">
                  <c:v>5.9829059829059825E-2</c:v>
                </c:pt>
                <c:pt idx="1">
                  <c:v>0.23931623931623963</c:v>
                </c:pt>
                <c:pt idx="2">
                  <c:v>0.33333333333333331</c:v>
                </c:pt>
                <c:pt idx="3">
                  <c:v>0.36752136752136788</c:v>
                </c:pt>
              </c:numCache>
            </c:numRef>
          </c:val>
        </c:ser>
        <c:ser>
          <c:idx val="6"/>
          <c:order val="6"/>
          <c:tx>
            <c:v>All schools</c:v>
          </c:tx>
          <c:cat>
            <c:strRef>
              <c:f>'Changes in Alevel uptake'!$B$20:$E$20</c:f>
              <c:strCache>
                <c:ptCount val="4"/>
                <c:pt idx="0">
                  <c:v>Decreased</c:v>
                </c:pt>
                <c:pt idx="1">
                  <c:v>Increased</c:v>
                </c:pt>
                <c:pt idx="2">
                  <c:v>Stayed the same</c:v>
                </c:pt>
                <c:pt idx="3">
                  <c:v>Varies evey year </c:v>
                </c:pt>
              </c:strCache>
            </c:strRef>
          </c:cat>
          <c:val>
            <c:numRef>
              <c:f>'Changes in Alevel uptake'!$B$34:$E$34</c:f>
              <c:numCache>
                <c:formatCode>0.0%</c:formatCode>
                <c:ptCount val="4"/>
                <c:pt idx="0">
                  <c:v>8.771929824561403E-2</c:v>
                </c:pt>
                <c:pt idx="1">
                  <c:v>0.19298245614035106</c:v>
                </c:pt>
                <c:pt idx="2">
                  <c:v>0.31578947368421123</c:v>
                </c:pt>
                <c:pt idx="3">
                  <c:v>0.40350877192982543</c:v>
                </c:pt>
              </c:numCache>
            </c:numRef>
          </c:val>
        </c:ser>
        <c:axId val="131775104"/>
        <c:axId val="131801472"/>
      </c:barChart>
      <c:catAx>
        <c:axId val="131775104"/>
        <c:scaling>
          <c:orientation val="minMax"/>
        </c:scaling>
        <c:axPos val="b"/>
        <c:tickLblPos val="nextTo"/>
        <c:crossAx val="131801472"/>
        <c:crosses val="autoZero"/>
        <c:auto val="1"/>
        <c:lblAlgn val="ctr"/>
        <c:lblOffset val="100"/>
      </c:catAx>
      <c:valAx>
        <c:axId val="131801472"/>
        <c:scaling>
          <c:orientation val="minMax"/>
          <c:max val="0.70000000000000062"/>
        </c:scaling>
        <c:axPos val="l"/>
        <c:majorGridlines/>
        <c:numFmt formatCode="0.0%" sourceLinked="1"/>
        <c:tickLblPos val="nextTo"/>
        <c:crossAx val="131775104"/>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'Separation of AS &amp; A2'!$R$5</c:f>
              <c:strCache>
                <c:ptCount val="1"/>
                <c:pt idx="0">
                  <c:v>Sixth form/tertiary colleges</c:v>
                </c:pt>
              </c:strCache>
            </c:strRef>
          </c:tx>
          <c:cat>
            <c:strRef>
              <c:f>'Separation of AS &amp; A2'!$S$4:$W$4</c:f>
              <c:strCache>
                <c:ptCount val="5"/>
                <c:pt idx="0">
                  <c:v>Strongly agree</c:v>
                </c:pt>
                <c:pt idx="1">
                  <c:v>Agree</c:v>
                </c:pt>
                <c:pt idx="2">
                  <c:v>Neither</c:v>
                </c:pt>
                <c:pt idx="3">
                  <c:v>Disagree</c:v>
                </c:pt>
                <c:pt idx="4">
                  <c:v>Strongly disagree</c:v>
                </c:pt>
              </c:strCache>
            </c:strRef>
          </c:cat>
          <c:val>
            <c:numRef>
              <c:f>'Separation of AS &amp; A2'!$S$5:$W$5</c:f>
              <c:numCache>
                <c:formatCode>0.0%</c:formatCode>
                <c:ptCount val="5"/>
                <c:pt idx="0">
                  <c:v>0</c:v>
                </c:pt>
                <c:pt idx="1">
                  <c:v>0</c:v>
                </c:pt>
                <c:pt idx="2">
                  <c:v>0.25</c:v>
                </c:pt>
                <c:pt idx="3">
                  <c:v>0.25</c:v>
                </c:pt>
                <c:pt idx="4">
                  <c:v>0.5</c:v>
                </c:pt>
              </c:numCache>
            </c:numRef>
          </c:val>
        </c:ser>
        <c:ser>
          <c:idx val="1"/>
          <c:order val="1"/>
          <c:tx>
            <c:strRef>
              <c:f>'Separation of AS &amp; A2'!$R$6</c:f>
              <c:strCache>
                <c:ptCount val="1"/>
                <c:pt idx="0">
                  <c:v>Comprehensive</c:v>
                </c:pt>
              </c:strCache>
            </c:strRef>
          </c:tx>
          <c:cat>
            <c:strRef>
              <c:f>'Separation of AS &amp; A2'!$S$4:$W$4</c:f>
              <c:strCache>
                <c:ptCount val="5"/>
                <c:pt idx="0">
                  <c:v>Strongly agree</c:v>
                </c:pt>
                <c:pt idx="1">
                  <c:v>Agree</c:v>
                </c:pt>
                <c:pt idx="2">
                  <c:v>Neither</c:v>
                </c:pt>
                <c:pt idx="3">
                  <c:v>Disagree</c:v>
                </c:pt>
                <c:pt idx="4">
                  <c:v>Strongly disagree</c:v>
                </c:pt>
              </c:strCache>
            </c:strRef>
          </c:cat>
          <c:val>
            <c:numRef>
              <c:f>'Separation of AS &amp; A2'!$S$6:$W$6</c:f>
              <c:numCache>
                <c:formatCode>0.0%</c:formatCode>
                <c:ptCount val="5"/>
                <c:pt idx="0">
                  <c:v>4.672897196261689E-2</c:v>
                </c:pt>
                <c:pt idx="1">
                  <c:v>0.1495327102803739</c:v>
                </c:pt>
                <c:pt idx="2">
                  <c:v>0.20560747663551387</c:v>
                </c:pt>
                <c:pt idx="3">
                  <c:v>0.25233644859813037</c:v>
                </c:pt>
                <c:pt idx="4">
                  <c:v>0.34579439252336425</c:v>
                </c:pt>
              </c:numCache>
            </c:numRef>
          </c:val>
        </c:ser>
        <c:ser>
          <c:idx val="2"/>
          <c:order val="2"/>
          <c:tx>
            <c:strRef>
              <c:f>'Separation of AS &amp; A2'!$R$7</c:f>
              <c:strCache>
                <c:ptCount val="1"/>
                <c:pt idx="0">
                  <c:v>Grammar</c:v>
                </c:pt>
              </c:strCache>
            </c:strRef>
          </c:tx>
          <c:cat>
            <c:strRef>
              <c:f>'Separation of AS &amp; A2'!$S$4:$W$4</c:f>
              <c:strCache>
                <c:ptCount val="5"/>
                <c:pt idx="0">
                  <c:v>Strongly agree</c:v>
                </c:pt>
                <c:pt idx="1">
                  <c:v>Agree</c:v>
                </c:pt>
                <c:pt idx="2">
                  <c:v>Neither</c:v>
                </c:pt>
                <c:pt idx="3">
                  <c:v>Disagree</c:v>
                </c:pt>
                <c:pt idx="4">
                  <c:v>Strongly disagree</c:v>
                </c:pt>
              </c:strCache>
            </c:strRef>
          </c:cat>
          <c:val>
            <c:numRef>
              <c:f>'Separation of AS &amp; A2'!$S$7:$W$7</c:f>
              <c:numCache>
                <c:formatCode>0.0%</c:formatCode>
                <c:ptCount val="5"/>
                <c:pt idx="0">
                  <c:v>0.2</c:v>
                </c:pt>
                <c:pt idx="1">
                  <c:v>0.4</c:v>
                </c:pt>
                <c:pt idx="2">
                  <c:v>0.2</c:v>
                </c:pt>
                <c:pt idx="3">
                  <c:v>0</c:v>
                </c:pt>
                <c:pt idx="4">
                  <c:v>0.2</c:v>
                </c:pt>
              </c:numCache>
            </c:numRef>
          </c:val>
        </c:ser>
        <c:ser>
          <c:idx val="3"/>
          <c:order val="3"/>
          <c:tx>
            <c:strRef>
              <c:f>'Separation of AS &amp; A2'!$R$8</c:f>
              <c:strCache>
                <c:ptCount val="1"/>
                <c:pt idx="0">
                  <c:v>Independent</c:v>
                </c:pt>
              </c:strCache>
            </c:strRef>
          </c:tx>
          <c:cat>
            <c:strRef>
              <c:f>'Separation of AS &amp; A2'!$S$4:$W$4</c:f>
              <c:strCache>
                <c:ptCount val="5"/>
                <c:pt idx="0">
                  <c:v>Strongly agree</c:v>
                </c:pt>
                <c:pt idx="1">
                  <c:v>Agree</c:v>
                </c:pt>
                <c:pt idx="2">
                  <c:v>Neither</c:v>
                </c:pt>
                <c:pt idx="3">
                  <c:v>Disagree</c:v>
                </c:pt>
                <c:pt idx="4">
                  <c:v>Strongly disagree</c:v>
                </c:pt>
              </c:strCache>
            </c:strRef>
          </c:cat>
          <c:val>
            <c:numRef>
              <c:f>'Separation of AS &amp; A2'!$S$8:$W$8</c:f>
              <c:numCache>
                <c:formatCode>0.0%</c:formatCode>
                <c:ptCount val="5"/>
                <c:pt idx="0">
                  <c:v>5.7142857142857141E-2</c:v>
                </c:pt>
                <c:pt idx="1">
                  <c:v>0.37142857142857211</c:v>
                </c:pt>
                <c:pt idx="2">
                  <c:v>0.11428571428571441</c:v>
                </c:pt>
                <c:pt idx="3">
                  <c:v>0.37142857142857211</c:v>
                </c:pt>
                <c:pt idx="4">
                  <c:v>8.5714285714285715E-2</c:v>
                </c:pt>
              </c:numCache>
            </c:numRef>
          </c:val>
        </c:ser>
        <c:ser>
          <c:idx val="4"/>
          <c:order val="4"/>
          <c:tx>
            <c:strRef>
              <c:f>'Separation of AS &amp; A2'!$R$9</c:f>
              <c:strCache>
                <c:ptCount val="1"/>
                <c:pt idx="0">
                  <c:v>Academy (old style)</c:v>
                </c:pt>
              </c:strCache>
            </c:strRef>
          </c:tx>
          <c:cat>
            <c:strRef>
              <c:f>'Separation of AS &amp; A2'!$S$4:$W$4</c:f>
              <c:strCache>
                <c:ptCount val="5"/>
                <c:pt idx="0">
                  <c:v>Strongly agree</c:v>
                </c:pt>
                <c:pt idx="1">
                  <c:v>Agree</c:v>
                </c:pt>
                <c:pt idx="2">
                  <c:v>Neither</c:v>
                </c:pt>
                <c:pt idx="3">
                  <c:v>Disagree</c:v>
                </c:pt>
                <c:pt idx="4">
                  <c:v>Strongly disagree</c:v>
                </c:pt>
              </c:strCache>
            </c:strRef>
          </c:cat>
          <c:val>
            <c:numRef>
              <c:f>'Separation of AS &amp; A2'!$S$9:$W$9</c:f>
              <c:numCache>
                <c:formatCode>0.0%</c:formatCode>
                <c:ptCount val="5"/>
                <c:pt idx="0">
                  <c:v>7.1428571428571425E-2</c:v>
                </c:pt>
                <c:pt idx="1">
                  <c:v>0.14285714285714307</c:v>
                </c:pt>
                <c:pt idx="2">
                  <c:v>0.14285714285714307</c:v>
                </c:pt>
                <c:pt idx="3">
                  <c:v>0.5</c:v>
                </c:pt>
                <c:pt idx="4">
                  <c:v>0.14285714285714307</c:v>
                </c:pt>
              </c:numCache>
            </c:numRef>
          </c:val>
        </c:ser>
        <c:ser>
          <c:idx val="5"/>
          <c:order val="5"/>
          <c:tx>
            <c:strRef>
              <c:f>'Separation of AS &amp; A2'!$R$10</c:f>
              <c:strCache>
                <c:ptCount val="1"/>
                <c:pt idx="0">
                  <c:v>Academy (new)</c:v>
                </c:pt>
              </c:strCache>
            </c:strRef>
          </c:tx>
          <c:cat>
            <c:strRef>
              <c:f>'Separation of AS &amp; A2'!$S$4:$W$4</c:f>
              <c:strCache>
                <c:ptCount val="5"/>
                <c:pt idx="0">
                  <c:v>Strongly agree</c:v>
                </c:pt>
                <c:pt idx="1">
                  <c:v>Agree</c:v>
                </c:pt>
                <c:pt idx="2">
                  <c:v>Neither</c:v>
                </c:pt>
                <c:pt idx="3">
                  <c:v>Disagree</c:v>
                </c:pt>
                <c:pt idx="4">
                  <c:v>Strongly disagree</c:v>
                </c:pt>
              </c:strCache>
            </c:strRef>
          </c:cat>
          <c:val>
            <c:numRef>
              <c:f>'Separation of AS &amp; A2'!$S$10:$W$10</c:f>
              <c:numCache>
                <c:formatCode>0.0%</c:formatCode>
                <c:ptCount val="5"/>
                <c:pt idx="0">
                  <c:v>5.9829059829059825E-2</c:v>
                </c:pt>
                <c:pt idx="1">
                  <c:v>0.17948717948717977</c:v>
                </c:pt>
                <c:pt idx="2">
                  <c:v>0.21367521367521369</c:v>
                </c:pt>
                <c:pt idx="3">
                  <c:v>0.2991452991452993</c:v>
                </c:pt>
                <c:pt idx="4">
                  <c:v>0.24786324786324807</c:v>
                </c:pt>
              </c:numCache>
            </c:numRef>
          </c:val>
        </c:ser>
        <c:ser>
          <c:idx val="6"/>
          <c:order val="6"/>
          <c:tx>
            <c:strRef>
              <c:f>'Separation of AS &amp; A2'!$R$11</c:f>
              <c:strCache>
                <c:ptCount val="1"/>
                <c:pt idx="0">
                  <c:v>All schools</c:v>
                </c:pt>
              </c:strCache>
            </c:strRef>
          </c:tx>
          <c:cat>
            <c:strRef>
              <c:f>'Separation of AS &amp; A2'!$S$4:$W$4</c:f>
              <c:strCache>
                <c:ptCount val="5"/>
                <c:pt idx="0">
                  <c:v>Strongly agree</c:v>
                </c:pt>
                <c:pt idx="1">
                  <c:v>Agree</c:v>
                </c:pt>
                <c:pt idx="2">
                  <c:v>Neither</c:v>
                </c:pt>
                <c:pt idx="3">
                  <c:v>Disagree</c:v>
                </c:pt>
                <c:pt idx="4">
                  <c:v>Strongly disagree</c:v>
                </c:pt>
              </c:strCache>
            </c:strRef>
          </c:cat>
          <c:val>
            <c:numRef>
              <c:f>'Separation of AS &amp; A2'!$S$11:$W$11</c:f>
              <c:numCache>
                <c:formatCode>0.0%</c:formatCode>
                <c:ptCount val="5"/>
                <c:pt idx="0">
                  <c:v>5.5944055944055895E-2</c:v>
                </c:pt>
                <c:pt idx="1">
                  <c:v>0.18881118881118908</c:v>
                </c:pt>
                <c:pt idx="2">
                  <c:v>0.19580419580419597</c:v>
                </c:pt>
                <c:pt idx="3">
                  <c:v>0.29370629370629381</c:v>
                </c:pt>
                <c:pt idx="4">
                  <c:v>0.26573426573426612</c:v>
                </c:pt>
              </c:numCache>
            </c:numRef>
          </c:val>
        </c:ser>
        <c:axId val="131834240"/>
        <c:axId val="131835776"/>
      </c:barChart>
      <c:catAx>
        <c:axId val="131834240"/>
        <c:scaling>
          <c:orientation val="minMax"/>
        </c:scaling>
        <c:axPos val="b"/>
        <c:tickLblPos val="nextTo"/>
        <c:crossAx val="131835776"/>
        <c:crosses val="autoZero"/>
        <c:auto val="1"/>
        <c:lblAlgn val="ctr"/>
        <c:lblOffset val="100"/>
      </c:catAx>
      <c:valAx>
        <c:axId val="131835776"/>
        <c:scaling>
          <c:orientation val="minMax"/>
        </c:scaling>
        <c:axPos val="l"/>
        <c:majorGridlines/>
        <c:numFmt formatCode="0.0%" sourceLinked="1"/>
        <c:tickLblPos val="nextTo"/>
        <c:crossAx val="131834240"/>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'Separation of AS &amp; A2'!$R$15</c:f>
              <c:strCache>
                <c:ptCount val="1"/>
                <c:pt idx="0">
                  <c:v>Sixth form/tertiary colleges</c:v>
                </c:pt>
              </c:strCache>
            </c:strRef>
          </c:tx>
          <c:cat>
            <c:strRef>
              <c:f>'Separation of AS &amp; A2'!$S$14:$V$14</c:f>
              <c:strCache>
                <c:ptCount val="4"/>
                <c:pt idx="0">
                  <c:v>Positive</c:v>
                </c:pt>
                <c:pt idx="1">
                  <c:v>Limited</c:v>
                </c:pt>
                <c:pt idx="2">
                  <c:v>Negtive</c:v>
                </c:pt>
                <c:pt idx="3">
                  <c:v>Too soon to tell</c:v>
                </c:pt>
              </c:strCache>
            </c:strRef>
          </c:cat>
          <c:val>
            <c:numRef>
              <c:f>'Separation of AS &amp; A2'!$S$15:$V$15</c:f>
              <c:numCache>
                <c:formatCode>0.0%</c:formatCode>
                <c:ptCount val="4"/>
                <c:pt idx="0">
                  <c:v>0</c:v>
                </c:pt>
                <c:pt idx="1">
                  <c:v>0.25</c:v>
                </c:pt>
                <c:pt idx="2">
                  <c:v>0.62500000000000078</c:v>
                </c:pt>
                <c:pt idx="3">
                  <c:v>0.125</c:v>
                </c:pt>
              </c:numCache>
            </c:numRef>
          </c:val>
        </c:ser>
        <c:ser>
          <c:idx val="1"/>
          <c:order val="1"/>
          <c:tx>
            <c:strRef>
              <c:f>'Separation of AS &amp; A2'!$R$16</c:f>
              <c:strCache>
                <c:ptCount val="1"/>
                <c:pt idx="0">
                  <c:v>Comprehensive</c:v>
                </c:pt>
              </c:strCache>
            </c:strRef>
          </c:tx>
          <c:cat>
            <c:strRef>
              <c:f>'Separation of AS &amp; A2'!$S$14:$V$14</c:f>
              <c:strCache>
                <c:ptCount val="4"/>
                <c:pt idx="0">
                  <c:v>Positive</c:v>
                </c:pt>
                <c:pt idx="1">
                  <c:v>Limited</c:v>
                </c:pt>
                <c:pt idx="2">
                  <c:v>Negtive</c:v>
                </c:pt>
                <c:pt idx="3">
                  <c:v>Too soon to tell</c:v>
                </c:pt>
              </c:strCache>
            </c:strRef>
          </c:cat>
          <c:val>
            <c:numRef>
              <c:f>'Separation of AS &amp; A2'!$S$16:$V$16</c:f>
              <c:numCache>
                <c:formatCode>0.0%</c:formatCode>
                <c:ptCount val="4"/>
                <c:pt idx="0">
                  <c:v>1.7857142857142856E-2</c:v>
                </c:pt>
                <c:pt idx="1">
                  <c:v>0.18750000000000017</c:v>
                </c:pt>
                <c:pt idx="2">
                  <c:v>0.2767857142857143</c:v>
                </c:pt>
                <c:pt idx="3">
                  <c:v>0.51785714285714257</c:v>
                </c:pt>
              </c:numCache>
            </c:numRef>
          </c:val>
        </c:ser>
        <c:ser>
          <c:idx val="2"/>
          <c:order val="2"/>
          <c:tx>
            <c:strRef>
              <c:f>'Separation of AS &amp; A2'!$R$17</c:f>
              <c:strCache>
                <c:ptCount val="1"/>
                <c:pt idx="0">
                  <c:v>Grammar</c:v>
                </c:pt>
              </c:strCache>
            </c:strRef>
          </c:tx>
          <c:cat>
            <c:strRef>
              <c:f>'Separation of AS &amp; A2'!$S$14:$V$14</c:f>
              <c:strCache>
                <c:ptCount val="4"/>
                <c:pt idx="0">
                  <c:v>Positive</c:v>
                </c:pt>
                <c:pt idx="1">
                  <c:v>Limited</c:v>
                </c:pt>
                <c:pt idx="2">
                  <c:v>Negtive</c:v>
                </c:pt>
                <c:pt idx="3">
                  <c:v>Too soon to tell</c:v>
                </c:pt>
              </c:strCache>
            </c:strRef>
          </c:cat>
          <c:val>
            <c:numRef>
              <c:f>'Separation of AS &amp; A2'!$S$17:$V$17</c:f>
              <c:numCache>
                <c:formatCode>0.0%</c:formatCode>
                <c:ptCount val="4"/>
                <c:pt idx="0">
                  <c:v>0.28571428571428614</c:v>
                </c:pt>
                <c:pt idx="1">
                  <c:v>0</c:v>
                </c:pt>
                <c:pt idx="2">
                  <c:v>0.14285714285714307</c:v>
                </c:pt>
                <c:pt idx="3">
                  <c:v>0.57142857142857229</c:v>
                </c:pt>
              </c:numCache>
            </c:numRef>
          </c:val>
        </c:ser>
        <c:ser>
          <c:idx val="3"/>
          <c:order val="3"/>
          <c:tx>
            <c:strRef>
              <c:f>'Separation of AS &amp; A2'!$R$18</c:f>
              <c:strCache>
                <c:ptCount val="1"/>
                <c:pt idx="0">
                  <c:v>Independent</c:v>
                </c:pt>
              </c:strCache>
            </c:strRef>
          </c:tx>
          <c:cat>
            <c:strRef>
              <c:f>'Separation of AS &amp; A2'!$S$14:$V$14</c:f>
              <c:strCache>
                <c:ptCount val="4"/>
                <c:pt idx="0">
                  <c:v>Positive</c:v>
                </c:pt>
                <c:pt idx="1">
                  <c:v>Limited</c:v>
                </c:pt>
                <c:pt idx="2">
                  <c:v>Negtive</c:v>
                </c:pt>
                <c:pt idx="3">
                  <c:v>Too soon to tell</c:v>
                </c:pt>
              </c:strCache>
            </c:strRef>
          </c:cat>
          <c:val>
            <c:numRef>
              <c:f>'Separation of AS &amp; A2'!$S$18:$V$18</c:f>
              <c:numCache>
                <c:formatCode>0.0%</c:formatCode>
                <c:ptCount val="4"/>
                <c:pt idx="0">
                  <c:v>0.1111111111111111</c:v>
                </c:pt>
                <c:pt idx="1">
                  <c:v>0.25</c:v>
                </c:pt>
                <c:pt idx="2">
                  <c:v>0.16666666666666666</c:v>
                </c:pt>
                <c:pt idx="3">
                  <c:v>0.47222222222222232</c:v>
                </c:pt>
              </c:numCache>
            </c:numRef>
          </c:val>
        </c:ser>
        <c:ser>
          <c:idx val="4"/>
          <c:order val="4"/>
          <c:tx>
            <c:strRef>
              <c:f>'Separation of AS &amp; A2'!$R$19</c:f>
              <c:strCache>
                <c:ptCount val="1"/>
                <c:pt idx="0">
                  <c:v>Academy (old style)</c:v>
                </c:pt>
              </c:strCache>
            </c:strRef>
          </c:tx>
          <c:cat>
            <c:strRef>
              <c:f>'Separation of AS &amp; A2'!$S$14:$V$14</c:f>
              <c:strCache>
                <c:ptCount val="4"/>
                <c:pt idx="0">
                  <c:v>Positive</c:v>
                </c:pt>
                <c:pt idx="1">
                  <c:v>Limited</c:v>
                </c:pt>
                <c:pt idx="2">
                  <c:v>Negtive</c:v>
                </c:pt>
                <c:pt idx="3">
                  <c:v>Too soon to tell</c:v>
                </c:pt>
              </c:strCache>
            </c:strRef>
          </c:cat>
          <c:val>
            <c:numRef>
              <c:f>'Separation of AS &amp; A2'!$S$19:$V$19</c:f>
              <c:numCache>
                <c:formatCode>0.0%</c:formatCode>
                <c:ptCount val="4"/>
                <c:pt idx="0">
                  <c:v>0</c:v>
                </c:pt>
                <c:pt idx="1">
                  <c:v>0.21428571428571427</c:v>
                </c:pt>
                <c:pt idx="2">
                  <c:v>0.21428571428571427</c:v>
                </c:pt>
                <c:pt idx="3">
                  <c:v>0.57142857142857229</c:v>
                </c:pt>
              </c:numCache>
            </c:numRef>
          </c:val>
        </c:ser>
        <c:ser>
          <c:idx val="5"/>
          <c:order val="5"/>
          <c:tx>
            <c:strRef>
              <c:f>'Separation of AS &amp; A2'!$R$20</c:f>
              <c:strCache>
                <c:ptCount val="1"/>
                <c:pt idx="0">
                  <c:v>Academy (new)</c:v>
                </c:pt>
              </c:strCache>
            </c:strRef>
          </c:tx>
          <c:cat>
            <c:strRef>
              <c:f>'Separation of AS &amp; A2'!$S$14:$V$14</c:f>
              <c:strCache>
                <c:ptCount val="4"/>
                <c:pt idx="0">
                  <c:v>Positive</c:v>
                </c:pt>
                <c:pt idx="1">
                  <c:v>Limited</c:v>
                </c:pt>
                <c:pt idx="2">
                  <c:v>Negtive</c:v>
                </c:pt>
                <c:pt idx="3">
                  <c:v>Too soon to tell</c:v>
                </c:pt>
              </c:strCache>
            </c:strRef>
          </c:cat>
          <c:val>
            <c:numRef>
              <c:f>'Separation of AS &amp; A2'!$S$20:$V$20</c:f>
              <c:numCache>
                <c:formatCode>0.0%</c:formatCode>
                <c:ptCount val="4"/>
                <c:pt idx="0">
                  <c:v>3.3613445378151259E-2</c:v>
                </c:pt>
                <c:pt idx="1">
                  <c:v>0.15966386554621864</c:v>
                </c:pt>
                <c:pt idx="2">
                  <c:v>0.2352941176470589</c:v>
                </c:pt>
                <c:pt idx="3">
                  <c:v>0.57142857142857229</c:v>
                </c:pt>
              </c:numCache>
            </c:numRef>
          </c:val>
        </c:ser>
        <c:ser>
          <c:idx val="6"/>
          <c:order val="6"/>
          <c:tx>
            <c:strRef>
              <c:f>'Separation of AS &amp; A2'!$R$21</c:f>
              <c:strCache>
                <c:ptCount val="1"/>
                <c:pt idx="0">
                  <c:v>All schools</c:v>
                </c:pt>
              </c:strCache>
            </c:strRef>
          </c:tx>
          <c:cat>
            <c:strRef>
              <c:f>'Separation of AS &amp; A2'!$S$14:$V$14</c:f>
              <c:strCache>
                <c:ptCount val="4"/>
                <c:pt idx="0">
                  <c:v>Positive</c:v>
                </c:pt>
                <c:pt idx="1">
                  <c:v>Limited</c:v>
                </c:pt>
                <c:pt idx="2">
                  <c:v>Negtive</c:v>
                </c:pt>
                <c:pt idx="3">
                  <c:v>Too soon to tell</c:v>
                </c:pt>
              </c:strCache>
            </c:strRef>
          </c:cat>
          <c:val>
            <c:numRef>
              <c:f>'Separation of AS &amp; A2'!$S$21:$V$21</c:f>
              <c:numCache>
                <c:formatCode>0.0%</c:formatCode>
                <c:ptCount val="4"/>
                <c:pt idx="0">
                  <c:v>4.0540540540540543E-2</c:v>
                </c:pt>
                <c:pt idx="1">
                  <c:v>0.18243243243243298</c:v>
                </c:pt>
                <c:pt idx="2">
                  <c:v>0.25</c:v>
                </c:pt>
                <c:pt idx="3">
                  <c:v>0.52702702702702697</c:v>
                </c:pt>
              </c:numCache>
            </c:numRef>
          </c:val>
        </c:ser>
        <c:axId val="133580672"/>
        <c:axId val="133582208"/>
      </c:barChart>
      <c:catAx>
        <c:axId val="133580672"/>
        <c:scaling>
          <c:orientation val="minMax"/>
        </c:scaling>
        <c:axPos val="b"/>
        <c:tickLblPos val="nextTo"/>
        <c:crossAx val="133582208"/>
        <c:crosses val="autoZero"/>
        <c:auto val="1"/>
        <c:lblAlgn val="ctr"/>
        <c:lblOffset val="100"/>
      </c:catAx>
      <c:valAx>
        <c:axId val="133582208"/>
        <c:scaling>
          <c:orientation val="minMax"/>
        </c:scaling>
        <c:axPos val="l"/>
        <c:majorGridlines/>
        <c:numFmt formatCode="0.0%" sourceLinked="1"/>
        <c:tickLblPos val="nextTo"/>
        <c:crossAx val="1335806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Sheet5!$A$103</c:f>
              <c:strCache>
                <c:ptCount val="1"/>
                <c:pt idx="0">
                  <c:v>Comprehensive</c:v>
                </c:pt>
              </c:strCache>
            </c:strRef>
          </c:tx>
          <c:cat>
            <c:strRef>
              <c:f>Sheet5!$B$99:$E$99</c:f>
              <c:strCache>
                <c:ptCount val="4"/>
                <c:pt idx="0">
                  <c:v>0%</c:v>
                </c:pt>
                <c:pt idx="1">
                  <c:v>&gt;30%</c:v>
                </c:pt>
                <c:pt idx="2">
                  <c:v>31-60%</c:v>
                </c:pt>
                <c:pt idx="3">
                  <c:v>60%+</c:v>
                </c:pt>
              </c:strCache>
            </c:strRef>
          </c:cat>
          <c:val>
            <c:numRef>
              <c:f>Sheet5!$B$103:$E$103</c:f>
              <c:numCache>
                <c:formatCode>0.0%</c:formatCode>
                <c:ptCount val="4"/>
                <c:pt idx="0">
                  <c:v>0.40186915887850466</c:v>
                </c:pt>
                <c:pt idx="1">
                  <c:v>0.40186915887850466</c:v>
                </c:pt>
                <c:pt idx="2">
                  <c:v>0.10280373831775701</c:v>
                </c:pt>
                <c:pt idx="3">
                  <c:v>9.345794392523385E-2</c:v>
                </c:pt>
              </c:numCache>
            </c:numRef>
          </c:val>
        </c:ser>
        <c:ser>
          <c:idx val="1"/>
          <c:order val="1"/>
          <c:tx>
            <c:strRef>
              <c:f>Sheet5!$A$105</c:f>
              <c:strCache>
                <c:ptCount val="1"/>
                <c:pt idx="0">
                  <c:v>Grammar</c:v>
                </c:pt>
              </c:strCache>
            </c:strRef>
          </c:tx>
          <c:cat>
            <c:strRef>
              <c:f>Sheet5!$B$99:$E$99</c:f>
              <c:strCache>
                <c:ptCount val="4"/>
                <c:pt idx="0">
                  <c:v>0%</c:v>
                </c:pt>
                <c:pt idx="1">
                  <c:v>&gt;30%</c:v>
                </c:pt>
                <c:pt idx="2">
                  <c:v>31-60%</c:v>
                </c:pt>
                <c:pt idx="3">
                  <c:v>60%+</c:v>
                </c:pt>
              </c:strCache>
            </c:strRef>
          </c:cat>
          <c:val>
            <c:numRef>
              <c:f>Sheet5!$B$105:$E$105</c:f>
              <c:numCache>
                <c:formatCode>0.0%</c:formatCode>
                <c:ptCount val="4"/>
                <c:pt idx="0">
                  <c:v>0.5</c:v>
                </c:pt>
                <c:pt idx="1">
                  <c:v>0.33333333333333331</c:v>
                </c:pt>
                <c:pt idx="2">
                  <c:v>0.16666666666666666</c:v>
                </c:pt>
                <c:pt idx="3">
                  <c:v>0</c:v>
                </c:pt>
              </c:numCache>
            </c:numRef>
          </c:val>
        </c:ser>
        <c:ser>
          <c:idx val="2"/>
          <c:order val="2"/>
          <c:tx>
            <c:strRef>
              <c:f>Sheet5!$A$107</c:f>
              <c:strCache>
                <c:ptCount val="1"/>
                <c:pt idx="0">
                  <c:v>Independents</c:v>
                </c:pt>
              </c:strCache>
            </c:strRef>
          </c:tx>
          <c:cat>
            <c:strRef>
              <c:f>Sheet5!$B$99:$E$99</c:f>
              <c:strCache>
                <c:ptCount val="4"/>
                <c:pt idx="0">
                  <c:v>0%</c:v>
                </c:pt>
                <c:pt idx="1">
                  <c:v>&gt;30%</c:v>
                </c:pt>
                <c:pt idx="2">
                  <c:v>31-60%</c:v>
                </c:pt>
                <c:pt idx="3">
                  <c:v>60%+</c:v>
                </c:pt>
              </c:strCache>
            </c:strRef>
          </c:cat>
          <c:val>
            <c:numRef>
              <c:f>Sheet5!$B$107:$E$107</c:f>
              <c:numCache>
                <c:formatCode>0.0%</c:formatCode>
                <c:ptCount val="4"/>
                <c:pt idx="0">
                  <c:v>0.69565217391304368</c:v>
                </c:pt>
                <c:pt idx="1">
                  <c:v>0.26086956521739163</c:v>
                </c:pt>
                <c:pt idx="2">
                  <c:v>0</c:v>
                </c:pt>
                <c:pt idx="3">
                  <c:v>4.3478260869565223E-2</c:v>
                </c:pt>
              </c:numCache>
            </c:numRef>
          </c:val>
        </c:ser>
        <c:ser>
          <c:idx val="3"/>
          <c:order val="3"/>
          <c:tx>
            <c:strRef>
              <c:f>Sheet5!$A$109</c:f>
              <c:strCache>
                <c:ptCount val="1"/>
                <c:pt idx="0">
                  <c:v>Academy (old style)</c:v>
                </c:pt>
              </c:strCache>
            </c:strRef>
          </c:tx>
          <c:cat>
            <c:strRef>
              <c:f>Sheet5!$B$99:$E$99</c:f>
              <c:strCache>
                <c:ptCount val="4"/>
                <c:pt idx="0">
                  <c:v>0%</c:v>
                </c:pt>
                <c:pt idx="1">
                  <c:v>&gt;30%</c:v>
                </c:pt>
                <c:pt idx="2">
                  <c:v>31-60%</c:v>
                </c:pt>
                <c:pt idx="3">
                  <c:v>60%+</c:v>
                </c:pt>
              </c:strCache>
            </c:strRef>
          </c:cat>
          <c:val>
            <c:numRef>
              <c:f>Sheet5!$B$109:$E$109</c:f>
              <c:numCache>
                <c:formatCode>0.0%</c:formatCode>
                <c:ptCount val="4"/>
                <c:pt idx="0">
                  <c:v>0.1111111111111111</c:v>
                </c:pt>
                <c:pt idx="1">
                  <c:v>0.22222222222222221</c:v>
                </c:pt>
                <c:pt idx="2">
                  <c:v>0.33333333333333331</c:v>
                </c:pt>
                <c:pt idx="3">
                  <c:v>0.33333333333333331</c:v>
                </c:pt>
              </c:numCache>
            </c:numRef>
          </c:val>
        </c:ser>
        <c:ser>
          <c:idx val="4"/>
          <c:order val="4"/>
          <c:tx>
            <c:strRef>
              <c:f>Sheet5!$A$111</c:f>
              <c:strCache>
                <c:ptCount val="1"/>
                <c:pt idx="0">
                  <c:v>Academy (new)</c:v>
                </c:pt>
              </c:strCache>
            </c:strRef>
          </c:tx>
          <c:cat>
            <c:strRef>
              <c:f>Sheet5!$B$99:$E$99</c:f>
              <c:strCache>
                <c:ptCount val="4"/>
                <c:pt idx="0">
                  <c:v>0%</c:v>
                </c:pt>
                <c:pt idx="1">
                  <c:v>&gt;30%</c:v>
                </c:pt>
                <c:pt idx="2">
                  <c:v>31-60%</c:v>
                </c:pt>
                <c:pt idx="3">
                  <c:v>60%+</c:v>
                </c:pt>
              </c:strCache>
            </c:strRef>
          </c:cat>
          <c:val>
            <c:numRef>
              <c:f>Sheet5!$B$111:$E$111</c:f>
              <c:numCache>
                <c:formatCode>0.0%</c:formatCode>
                <c:ptCount val="4"/>
                <c:pt idx="0">
                  <c:v>0.39705882352941252</c:v>
                </c:pt>
                <c:pt idx="1">
                  <c:v>0.33823529411764752</c:v>
                </c:pt>
                <c:pt idx="2">
                  <c:v>0.19117647058823528</c:v>
                </c:pt>
                <c:pt idx="3">
                  <c:v>7.3529411764705885E-2</c:v>
                </c:pt>
              </c:numCache>
            </c:numRef>
          </c:val>
        </c:ser>
        <c:axId val="99035008"/>
        <c:axId val="99036544"/>
      </c:barChart>
      <c:catAx>
        <c:axId val="99035008"/>
        <c:scaling>
          <c:orientation val="minMax"/>
        </c:scaling>
        <c:axPos val="b"/>
        <c:numFmt formatCode="General" sourceLinked="1"/>
        <c:majorTickMark val="none"/>
        <c:tickLblPos val="nextTo"/>
        <c:crossAx val="99036544"/>
        <c:crosses val="autoZero"/>
        <c:auto val="1"/>
        <c:lblAlgn val="ctr"/>
        <c:lblOffset val="100"/>
      </c:catAx>
      <c:valAx>
        <c:axId val="99036544"/>
        <c:scaling>
          <c:orientation val="minMax"/>
        </c:scaling>
        <c:axPos val="l"/>
        <c:majorGridlines/>
        <c:numFmt formatCode="0.0%" sourceLinked="1"/>
        <c:majorTickMark val="none"/>
        <c:tickLblPos val="nextTo"/>
        <c:crossAx val="9903500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'KS3'!$A$95</c:f>
              <c:strCache>
                <c:ptCount val="1"/>
                <c:pt idx="0">
                  <c:v>Comprehensive</c:v>
                </c:pt>
              </c:strCache>
            </c:strRef>
          </c:tx>
          <c:cat>
            <c:strRef>
              <c:f>('KS3'!$C$94,'KS3'!$E$94,'KS3'!$G$94,'KS3'!$I$94,'KS3'!$K$94,'KS3'!$M$94)</c:f>
              <c:strCache>
                <c:ptCount val="6"/>
                <c:pt idx="0">
                  <c:v>0%</c:v>
                </c:pt>
                <c:pt idx="1">
                  <c:v>1-15%</c:v>
                </c:pt>
                <c:pt idx="2">
                  <c:v>16-30%</c:v>
                </c:pt>
                <c:pt idx="3">
                  <c:v>31-45%</c:v>
                </c:pt>
                <c:pt idx="4">
                  <c:v>45-60%</c:v>
                </c:pt>
                <c:pt idx="5">
                  <c:v>60%+</c:v>
                </c:pt>
              </c:strCache>
            </c:strRef>
          </c:cat>
          <c:val>
            <c:numRef>
              <c:f>('KS3'!$C$95,'KS3'!$E$95,'KS3'!$G$95,'KS3'!$I$95,'KS3'!$K$95,'KS3'!$M$95)</c:f>
              <c:numCache>
                <c:formatCode>0.0%</c:formatCode>
                <c:ptCount val="6"/>
                <c:pt idx="0">
                  <c:v>0.5517241379310347</c:v>
                </c:pt>
                <c:pt idx="1">
                  <c:v>0.17241379310344851</c:v>
                </c:pt>
                <c:pt idx="2">
                  <c:v>6.8965517241379309E-2</c:v>
                </c:pt>
                <c:pt idx="3">
                  <c:v>3.4482758620689655E-2</c:v>
                </c:pt>
                <c:pt idx="4">
                  <c:v>0.10344827586206895</c:v>
                </c:pt>
                <c:pt idx="5">
                  <c:v>6.8965517241379309E-2</c:v>
                </c:pt>
              </c:numCache>
            </c:numRef>
          </c:val>
        </c:ser>
        <c:ser>
          <c:idx val="1"/>
          <c:order val="1"/>
          <c:tx>
            <c:strRef>
              <c:f>'KS3'!$A$96</c:f>
              <c:strCache>
                <c:ptCount val="1"/>
                <c:pt idx="0">
                  <c:v>Grammar</c:v>
                </c:pt>
              </c:strCache>
            </c:strRef>
          </c:tx>
          <c:cat>
            <c:strRef>
              <c:f>('KS3'!$C$94,'KS3'!$E$94,'KS3'!$G$94,'KS3'!$I$94,'KS3'!$K$94,'KS3'!$M$94)</c:f>
              <c:strCache>
                <c:ptCount val="6"/>
                <c:pt idx="0">
                  <c:v>0%</c:v>
                </c:pt>
                <c:pt idx="1">
                  <c:v>1-15%</c:v>
                </c:pt>
                <c:pt idx="2">
                  <c:v>16-30%</c:v>
                </c:pt>
                <c:pt idx="3">
                  <c:v>31-45%</c:v>
                </c:pt>
                <c:pt idx="4">
                  <c:v>45-60%</c:v>
                </c:pt>
                <c:pt idx="5">
                  <c:v>60%+</c:v>
                </c:pt>
              </c:strCache>
            </c:strRef>
          </c:cat>
          <c:val>
            <c:numRef>
              <c:f>('KS3'!$C$96,'KS3'!$E$96,'KS3'!$G$96,'KS3'!$I$96,'KS3'!$K$96,'KS3'!$M$96)</c:f>
              <c:numCache>
                <c:formatCode>0.0%</c:formatCode>
                <c:ptCount val="6"/>
                <c:pt idx="0">
                  <c:v>1</c:v>
                </c:pt>
                <c:pt idx="1">
                  <c:v>0</c:v>
                </c:pt>
                <c:pt idx="2">
                  <c:v>0</c:v>
                </c:pt>
                <c:pt idx="3">
                  <c:v>0</c:v>
                </c:pt>
                <c:pt idx="4">
                  <c:v>0</c:v>
                </c:pt>
                <c:pt idx="5">
                  <c:v>0</c:v>
                </c:pt>
              </c:numCache>
            </c:numRef>
          </c:val>
        </c:ser>
        <c:ser>
          <c:idx val="2"/>
          <c:order val="2"/>
          <c:tx>
            <c:strRef>
              <c:f>'KS3'!$A$97</c:f>
              <c:strCache>
                <c:ptCount val="1"/>
                <c:pt idx="0">
                  <c:v>Independents</c:v>
                </c:pt>
              </c:strCache>
            </c:strRef>
          </c:tx>
          <c:cat>
            <c:strRef>
              <c:f>('KS3'!$C$94,'KS3'!$E$94,'KS3'!$G$94,'KS3'!$I$94,'KS3'!$K$94,'KS3'!$M$94)</c:f>
              <c:strCache>
                <c:ptCount val="6"/>
                <c:pt idx="0">
                  <c:v>0%</c:v>
                </c:pt>
                <c:pt idx="1">
                  <c:v>1-15%</c:v>
                </c:pt>
                <c:pt idx="2">
                  <c:v>16-30%</c:v>
                </c:pt>
                <c:pt idx="3">
                  <c:v>31-45%</c:v>
                </c:pt>
                <c:pt idx="4">
                  <c:v>45-60%</c:v>
                </c:pt>
                <c:pt idx="5">
                  <c:v>60%+</c:v>
                </c:pt>
              </c:strCache>
            </c:strRef>
          </c:cat>
          <c:val>
            <c:numRef>
              <c:f>('KS3'!$C$97,'KS3'!$E$97,'KS3'!$G$97,'KS3'!$I$97,'KS3'!$K$97,'KS3'!$M$97)</c:f>
              <c:numCache>
                <c:formatCode>0.0%</c:formatCode>
                <c:ptCount val="6"/>
                <c:pt idx="0">
                  <c:v>1</c:v>
                </c:pt>
                <c:pt idx="1">
                  <c:v>0</c:v>
                </c:pt>
                <c:pt idx="2">
                  <c:v>0</c:v>
                </c:pt>
                <c:pt idx="3">
                  <c:v>0</c:v>
                </c:pt>
                <c:pt idx="4">
                  <c:v>0</c:v>
                </c:pt>
                <c:pt idx="5">
                  <c:v>0</c:v>
                </c:pt>
              </c:numCache>
            </c:numRef>
          </c:val>
        </c:ser>
        <c:ser>
          <c:idx val="3"/>
          <c:order val="3"/>
          <c:tx>
            <c:strRef>
              <c:f>'KS3'!$A$98</c:f>
              <c:strCache>
                <c:ptCount val="1"/>
                <c:pt idx="0">
                  <c:v>Academy</c:v>
                </c:pt>
              </c:strCache>
            </c:strRef>
          </c:tx>
          <c:cat>
            <c:strRef>
              <c:f>('KS3'!$C$94,'KS3'!$E$94,'KS3'!$G$94,'KS3'!$I$94,'KS3'!$K$94,'KS3'!$M$94)</c:f>
              <c:strCache>
                <c:ptCount val="6"/>
                <c:pt idx="0">
                  <c:v>0%</c:v>
                </c:pt>
                <c:pt idx="1">
                  <c:v>1-15%</c:v>
                </c:pt>
                <c:pt idx="2">
                  <c:v>16-30%</c:v>
                </c:pt>
                <c:pt idx="3">
                  <c:v>31-45%</c:v>
                </c:pt>
                <c:pt idx="4">
                  <c:v>45-60%</c:v>
                </c:pt>
                <c:pt idx="5">
                  <c:v>60%+</c:v>
                </c:pt>
              </c:strCache>
            </c:strRef>
          </c:cat>
          <c:val>
            <c:numRef>
              <c:f>('KS3'!$C$98,'KS3'!$E$98,'KS3'!$G$98,'KS3'!$I$98,'KS3'!$K$98,'KS3'!$M$98)</c:f>
              <c:numCache>
                <c:formatCode>0.0%</c:formatCode>
                <c:ptCount val="6"/>
                <c:pt idx="0">
                  <c:v>0.1111111111111111</c:v>
                </c:pt>
                <c:pt idx="1">
                  <c:v>0.22222222222222221</c:v>
                </c:pt>
                <c:pt idx="2">
                  <c:v>0</c:v>
                </c:pt>
                <c:pt idx="3">
                  <c:v>0</c:v>
                </c:pt>
                <c:pt idx="4">
                  <c:v>0.22222222222222221</c:v>
                </c:pt>
                <c:pt idx="5">
                  <c:v>0.44444444444444442</c:v>
                </c:pt>
              </c:numCache>
            </c:numRef>
          </c:val>
        </c:ser>
        <c:ser>
          <c:idx val="4"/>
          <c:order val="4"/>
          <c:tx>
            <c:strRef>
              <c:f>'KS3'!$A$99</c:f>
              <c:strCache>
                <c:ptCount val="1"/>
                <c:pt idx="0">
                  <c:v>New Academy</c:v>
                </c:pt>
              </c:strCache>
            </c:strRef>
          </c:tx>
          <c:cat>
            <c:strRef>
              <c:f>('KS3'!$C$94,'KS3'!$E$94,'KS3'!$G$94,'KS3'!$I$94,'KS3'!$K$94,'KS3'!$M$94)</c:f>
              <c:strCache>
                <c:ptCount val="6"/>
                <c:pt idx="0">
                  <c:v>0%</c:v>
                </c:pt>
                <c:pt idx="1">
                  <c:v>1-15%</c:v>
                </c:pt>
                <c:pt idx="2">
                  <c:v>16-30%</c:v>
                </c:pt>
                <c:pt idx="3">
                  <c:v>31-45%</c:v>
                </c:pt>
                <c:pt idx="4">
                  <c:v>45-60%</c:v>
                </c:pt>
                <c:pt idx="5">
                  <c:v>60%+</c:v>
                </c:pt>
              </c:strCache>
            </c:strRef>
          </c:cat>
          <c:val>
            <c:numRef>
              <c:f>('KS3'!$C$99,'KS3'!$E$99,'KS3'!$G$99,'KS3'!$I$99,'KS3'!$K$99,'KS3'!$M$99)</c:f>
              <c:numCache>
                <c:formatCode>0.0%</c:formatCode>
                <c:ptCount val="6"/>
                <c:pt idx="0">
                  <c:v>0.41379310344827575</c:v>
                </c:pt>
                <c:pt idx="1">
                  <c:v>0.20689655172413793</c:v>
                </c:pt>
                <c:pt idx="2">
                  <c:v>0.13793103448275884</c:v>
                </c:pt>
                <c:pt idx="3">
                  <c:v>0.10344827586206895</c:v>
                </c:pt>
                <c:pt idx="4">
                  <c:v>3.4482758620689655E-2</c:v>
                </c:pt>
                <c:pt idx="5">
                  <c:v>0.10344827586206895</c:v>
                </c:pt>
              </c:numCache>
            </c:numRef>
          </c:val>
        </c:ser>
        <c:axId val="99075968"/>
        <c:axId val="99077504"/>
      </c:barChart>
      <c:catAx>
        <c:axId val="99075968"/>
        <c:scaling>
          <c:orientation val="minMax"/>
        </c:scaling>
        <c:axPos val="b"/>
        <c:tickLblPos val="nextTo"/>
        <c:crossAx val="99077504"/>
        <c:crosses val="autoZero"/>
        <c:auto val="1"/>
        <c:lblAlgn val="ctr"/>
        <c:lblOffset val="100"/>
      </c:catAx>
      <c:valAx>
        <c:axId val="99077504"/>
        <c:scaling>
          <c:orientation val="minMax"/>
        </c:scaling>
        <c:axPos val="l"/>
        <c:majorGridlines/>
        <c:numFmt formatCode="0.0%" sourceLinked="1"/>
        <c:tickLblPos val="nextTo"/>
        <c:crossAx val="990759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'KS3'!$A$49</c:f>
              <c:strCache>
                <c:ptCount val="1"/>
                <c:pt idx="0">
                  <c:v>Comprehensive</c:v>
                </c:pt>
              </c:strCache>
            </c:strRef>
          </c:tx>
          <c:cat>
            <c:strRef>
              <c:f>('KS3'!$C$47,'KS3'!$E$47,'KS3'!$G$47,'KS3'!$I$47,'KS3'!$K$47,'KS3'!$M$47)</c:f>
              <c:strCache>
                <c:ptCount val="6"/>
                <c:pt idx="0">
                  <c:v>&lt;30</c:v>
                </c:pt>
                <c:pt idx="1">
                  <c:v>31-35</c:v>
                </c:pt>
                <c:pt idx="2">
                  <c:v>46-60</c:v>
                </c:pt>
                <c:pt idx="3">
                  <c:v>61-75</c:v>
                </c:pt>
                <c:pt idx="4">
                  <c:v>76-90</c:v>
                </c:pt>
                <c:pt idx="5">
                  <c:v>&gt;90</c:v>
                </c:pt>
              </c:strCache>
            </c:strRef>
          </c:cat>
          <c:val>
            <c:numRef>
              <c:f>('KS3'!$C$49,'KS3'!$E$49,'KS3'!$G$49,'KS3'!$I$49,'KS3'!$K$49,'KS3'!$M$49)</c:f>
              <c:numCache>
                <c:formatCode>0.0%</c:formatCode>
                <c:ptCount val="6"/>
                <c:pt idx="0">
                  <c:v>1.7751479289940853E-2</c:v>
                </c:pt>
                <c:pt idx="1">
                  <c:v>0</c:v>
                </c:pt>
                <c:pt idx="2">
                  <c:v>0.18934911242603586</c:v>
                </c:pt>
                <c:pt idx="3">
                  <c:v>0.15384615384615413</c:v>
                </c:pt>
                <c:pt idx="4">
                  <c:v>0.29585798816568104</c:v>
                </c:pt>
                <c:pt idx="5">
                  <c:v>0.34319526627218933</c:v>
                </c:pt>
              </c:numCache>
            </c:numRef>
          </c:val>
        </c:ser>
        <c:ser>
          <c:idx val="1"/>
          <c:order val="1"/>
          <c:tx>
            <c:strRef>
              <c:f>'KS3'!$A$50</c:f>
              <c:strCache>
                <c:ptCount val="1"/>
                <c:pt idx="0">
                  <c:v>Grammar</c:v>
                </c:pt>
              </c:strCache>
            </c:strRef>
          </c:tx>
          <c:cat>
            <c:strRef>
              <c:f>('KS3'!$C$47,'KS3'!$E$47,'KS3'!$G$47,'KS3'!$I$47,'KS3'!$K$47,'KS3'!$M$47)</c:f>
              <c:strCache>
                <c:ptCount val="6"/>
                <c:pt idx="0">
                  <c:v>&lt;30</c:v>
                </c:pt>
                <c:pt idx="1">
                  <c:v>31-35</c:v>
                </c:pt>
                <c:pt idx="2">
                  <c:v>46-60</c:v>
                </c:pt>
                <c:pt idx="3">
                  <c:v>61-75</c:v>
                </c:pt>
                <c:pt idx="4">
                  <c:v>76-90</c:v>
                </c:pt>
                <c:pt idx="5">
                  <c:v>&gt;90</c:v>
                </c:pt>
              </c:strCache>
            </c:strRef>
          </c:cat>
          <c:val>
            <c:numRef>
              <c:f>('KS3'!$C$50,'KS3'!$E$50,'KS3'!$G$50,'KS3'!$I$50,'KS3'!$K$50,'KS3'!$M$50)</c:f>
              <c:numCache>
                <c:formatCode>0.0%</c:formatCode>
                <c:ptCount val="6"/>
                <c:pt idx="0">
                  <c:v>0</c:v>
                </c:pt>
                <c:pt idx="1">
                  <c:v>0</c:v>
                </c:pt>
                <c:pt idx="2">
                  <c:v>0.16666666666666666</c:v>
                </c:pt>
                <c:pt idx="3">
                  <c:v>0.16666666666666666</c:v>
                </c:pt>
                <c:pt idx="4">
                  <c:v>0.16666666666666666</c:v>
                </c:pt>
                <c:pt idx="5">
                  <c:v>0.5</c:v>
                </c:pt>
              </c:numCache>
            </c:numRef>
          </c:val>
        </c:ser>
        <c:ser>
          <c:idx val="2"/>
          <c:order val="2"/>
          <c:tx>
            <c:strRef>
              <c:f>'KS3'!$A$51</c:f>
              <c:strCache>
                <c:ptCount val="1"/>
                <c:pt idx="0">
                  <c:v>Independents</c:v>
                </c:pt>
              </c:strCache>
            </c:strRef>
          </c:tx>
          <c:cat>
            <c:strRef>
              <c:f>('KS3'!$C$47,'KS3'!$E$47,'KS3'!$G$47,'KS3'!$I$47,'KS3'!$K$47,'KS3'!$M$47)</c:f>
              <c:strCache>
                <c:ptCount val="6"/>
                <c:pt idx="0">
                  <c:v>&lt;30</c:v>
                </c:pt>
                <c:pt idx="1">
                  <c:v>31-35</c:v>
                </c:pt>
                <c:pt idx="2">
                  <c:v>46-60</c:v>
                </c:pt>
                <c:pt idx="3">
                  <c:v>61-75</c:v>
                </c:pt>
                <c:pt idx="4">
                  <c:v>76-90</c:v>
                </c:pt>
                <c:pt idx="5">
                  <c:v>&gt;90</c:v>
                </c:pt>
              </c:strCache>
            </c:strRef>
          </c:cat>
          <c:val>
            <c:numRef>
              <c:f>('KS3'!$C$51,'KS3'!$E$51,'KS3'!$G$51,'KS3'!$I$51,'KS3'!$K$51,'KS3'!$M$51)</c:f>
              <c:numCache>
                <c:formatCode>0.0%</c:formatCode>
                <c:ptCount val="6"/>
                <c:pt idx="0">
                  <c:v>0</c:v>
                </c:pt>
                <c:pt idx="1">
                  <c:v>0</c:v>
                </c:pt>
                <c:pt idx="2">
                  <c:v>0.17948717948717977</c:v>
                </c:pt>
                <c:pt idx="3">
                  <c:v>0.46153846153846195</c:v>
                </c:pt>
                <c:pt idx="4">
                  <c:v>0.2051282051282052</c:v>
                </c:pt>
                <c:pt idx="5">
                  <c:v>0.15384615384615413</c:v>
                </c:pt>
              </c:numCache>
            </c:numRef>
          </c:val>
        </c:ser>
        <c:ser>
          <c:idx val="3"/>
          <c:order val="3"/>
          <c:tx>
            <c:strRef>
              <c:f>'KS3'!$A$52</c:f>
              <c:strCache>
                <c:ptCount val="1"/>
                <c:pt idx="0">
                  <c:v>Academy</c:v>
                </c:pt>
              </c:strCache>
            </c:strRef>
          </c:tx>
          <c:cat>
            <c:strRef>
              <c:f>('KS3'!$C$47,'KS3'!$E$47,'KS3'!$G$47,'KS3'!$I$47,'KS3'!$K$47,'KS3'!$M$47)</c:f>
              <c:strCache>
                <c:ptCount val="6"/>
                <c:pt idx="0">
                  <c:v>&lt;30</c:v>
                </c:pt>
                <c:pt idx="1">
                  <c:v>31-35</c:v>
                </c:pt>
                <c:pt idx="2">
                  <c:v>46-60</c:v>
                </c:pt>
                <c:pt idx="3">
                  <c:v>61-75</c:v>
                </c:pt>
                <c:pt idx="4">
                  <c:v>76-90</c:v>
                </c:pt>
                <c:pt idx="5">
                  <c:v>&gt;90</c:v>
                </c:pt>
              </c:strCache>
            </c:strRef>
          </c:cat>
          <c:val>
            <c:numRef>
              <c:f>('KS3'!$C$52,'KS3'!$E$52,'KS3'!$G$52,'KS3'!$I$52,'KS3'!$K$52,'KS3'!$M$52)</c:f>
              <c:numCache>
                <c:formatCode>0.0%</c:formatCode>
                <c:ptCount val="6"/>
                <c:pt idx="0">
                  <c:v>0.1111111111111111</c:v>
                </c:pt>
                <c:pt idx="1">
                  <c:v>0</c:v>
                </c:pt>
                <c:pt idx="2">
                  <c:v>0.33333333333333331</c:v>
                </c:pt>
                <c:pt idx="3">
                  <c:v>0.22222222222222221</c:v>
                </c:pt>
                <c:pt idx="4">
                  <c:v>0.1111111111111111</c:v>
                </c:pt>
                <c:pt idx="5">
                  <c:v>0.22222222222222221</c:v>
                </c:pt>
              </c:numCache>
            </c:numRef>
          </c:val>
        </c:ser>
        <c:ser>
          <c:idx val="4"/>
          <c:order val="4"/>
          <c:tx>
            <c:strRef>
              <c:f>'KS3'!$A$53</c:f>
              <c:strCache>
                <c:ptCount val="1"/>
                <c:pt idx="0">
                  <c:v>New Academy</c:v>
                </c:pt>
              </c:strCache>
            </c:strRef>
          </c:tx>
          <c:cat>
            <c:strRef>
              <c:f>('KS3'!$C$47,'KS3'!$E$47,'KS3'!$G$47,'KS3'!$I$47,'KS3'!$K$47,'KS3'!$M$47)</c:f>
              <c:strCache>
                <c:ptCount val="6"/>
                <c:pt idx="0">
                  <c:v>&lt;30</c:v>
                </c:pt>
                <c:pt idx="1">
                  <c:v>31-35</c:v>
                </c:pt>
                <c:pt idx="2">
                  <c:v>46-60</c:v>
                </c:pt>
                <c:pt idx="3">
                  <c:v>61-75</c:v>
                </c:pt>
                <c:pt idx="4">
                  <c:v>76-90</c:v>
                </c:pt>
                <c:pt idx="5">
                  <c:v>&gt;90</c:v>
                </c:pt>
              </c:strCache>
            </c:strRef>
          </c:cat>
          <c:val>
            <c:numRef>
              <c:f>('KS3'!$C$53,'KS3'!$E$53,'KS3'!$G$53,'KS3'!$I$53,'KS3'!$K$53,'KS3'!$M$53)</c:f>
              <c:numCache>
                <c:formatCode>0.0%</c:formatCode>
                <c:ptCount val="6"/>
                <c:pt idx="0">
                  <c:v>1.4388489208633119E-2</c:v>
                </c:pt>
                <c:pt idx="1">
                  <c:v>2.8776978417266237E-2</c:v>
                </c:pt>
                <c:pt idx="2">
                  <c:v>0.18705035971223052</c:v>
                </c:pt>
                <c:pt idx="3">
                  <c:v>0.18705035971223052</c:v>
                </c:pt>
                <c:pt idx="4">
                  <c:v>0.25899280575539568</c:v>
                </c:pt>
                <c:pt idx="5">
                  <c:v>0.32374100719424503</c:v>
                </c:pt>
              </c:numCache>
            </c:numRef>
          </c:val>
        </c:ser>
        <c:axId val="99186560"/>
        <c:axId val="99188096"/>
      </c:barChart>
      <c:catAx>
        <c:axId val="99186560"/>
        <c:scaling>
          <c:orientation val="minMax"/>
        </c:scaling>
        <c:axPos val="b"/>
        <c:tickLblPos val="nextTo"/>
        <c:crossAx val="99188096"/>
        <c:crosses val="autoZero"/>
        <c:auto val="1"/>
        <c:lblAlgn val="ctr"/>
        <c:lblOffset val="100"/>
      </c:catAx>
      <c:valAx>
        <c:axId val="99188096"/>
        <c:scaling>
          <c:orientation val="minMax"/>
        </c:scaling>
        <c:axPos val="l"/>
        <c:majorGridlines/>
        <c:numFmt formatCode="0.0%" sourceLinked="1"/>
        <c:tickLblPos val="nextTo"/>
        <c:crossAx val="9918656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Sheet5!$A$71</c:f>
              <c:strCache>
                <c:ptCount val="1"/>
                <c:pt idx="0">
                  <c:v>Comprehensive</c:v>
                </c:pt>
              </c:strCache>
            </c:strRef>
          </c:tx>
          <c:cat>
            <c:strRef>
              <c:f>Sheet5!$B$67:$G$67</c:f>
              <c:strCache>
                <c:ptCount val="6"/>
                <c:pt idx="0">
                  <c:v>&lt;30 mins*</c:v>
                </c:pt>
                <c:pt idx="1">
                  <c:v>31-45 mins</c:v>
                </c:pt>
                <c:pt idx="2">
                  <c:v>46-60 mins</c:v>
                </c:pt>
                <c:pt idx="3">
                  <c:v>61-75 mins</c:v>
                </c:pt>
                <c:pt idx="4">
                  <c:v>76-90 mins</c:v>
                </c:pt>
                <c:pt idx="5">
                  <c:v>&gt;90 mins</c:v>
                </c:pt>
              </c:strCache>
            </c:strRef>
          </c:cat>
          <c:val>
            <c:numRef>
              <c:f>Sheet5!$B$71:$G$71</c:f>
              <c:numCache>
                <c:formatCode>0.0%</c:formatCode>
                <c:ptCount val="6"/>
                <c:pt idx="0">
                  <c:v>0</c:v>
                </c:pt>
                <c:pt idx="1">
                  <c:v>2.3529411764705879E-2</c:v>
                </c:pt>
                <c:pt idx="2">
                  <c:v>0.30588235294117683</c:v>
                </c:pt>
                <c:pt idx="3">
                  <c:v>0.15294117647058841</c:v>
                </c:pt>
                <c:pt idx="4">
                  <c:v>2.3529411764705879E-2</c:v>
                </c:pt>
                <c:pt idx="5">
                  <c:v>0.49411764705882388</c:v>
                </c:pt>
              </c:numCache>
            </c:numRef>
          </c:val>
        </c:ser>
        <c:ser>
          <c:idx val="1"/>
          <c:order val="1"/>
          <c:tx>
            <c:strRef>
              <c:f>Sheet5!$A$73</c:f>
              <c:strCache>
                <c:ptCount val="1"/>
                <c:pt idx="0">
                  <c:v>Grammar</c:v>
                </c:pt>
              </c:strCache>
            </c:strRef>
          </c:tx>
          <c:cat>
            <c:strRef>
              <c:f>Sheet5!$B$67:$G$67</c:f>
              <c:strCache>
                <c:ptCount val="6"/>
                <c:pt idx="0">
                  <c:v>&lt;30 mins*</c:v>
                </c:pt>
                <c:pt idx="1">
                  <c:v>31-45 mins</c:v>
                </c:pt>
                <c:pt idx="2">
                  <c:v>46-60 mins</c:v>
                </c:pt>
                <c:pt idx="3">
                  <c:v>61-75 mins</c:v>
                </c:pt>
                <c:pt idx="4">
                  <c:v>76-90 mins</c:v>
                </c:pt>
                <c:pt idx="5">
                  <c:v>&gt;90 mins</c:v>
                </c:pt>
              </c:strCache>
            </c:strRef>
          </c:cat>
          <c:val>
            <c:numRef>
              <c:f>Sheet5!$B$73:$G$73</c:f>
              <c:numCache>
                <c:formatCode>0.0%</c:formatCode>
                <c:ptCount val="6"/>
                <c:pt idx="0">
                  <c:v>0</c:v>
                </c:pt>
                <c:pt idx="1">
                  <c:v>0</c:v>
                </c:pt>
                <c:pt idx="2">
                  <c:v>0</c:v>
                </c:pt>
                <c:pt idx="3">
                  <c:v>0.16666666666666666</c:v>
                </c:pt>
                <c:pt idx="4">
                  <c:v>0.33333333333333331</c:v>
                </c:pt>
                <c:pt idx="5">
                  <c:v>0.5</c:v>
                </c:pt>
              </c:numCache>
            </c:numRef>
          </c:val>
        </c:ser>
        <c:ser>
          <c:idx val="2"/>
          <c:order val="2"/>
          <c:tx>
            <c:strRef>
              <c:f>Sheet5!$A$75</c:f>
              <c:strCache>
                <c:ptCount val="1"/>
                <c:pt idx="0">
                  <c:v>Independents</c:v>
                </c:pt>
              </c:strCache>
            </c:strRef>
          </c:tx>
          <c:cat>
            <c:strRef>
              <c:f>Sheet5!$B$67:$G$67</c:f>
              <c:strCache>
                <c:ptCount val="6"/>
                <c:pt idx="0">
                  <c:v>&lt;30 mins*</c:v>
                </c:pt>
                <c:pt idx="1">
                  <c:v>31-45 mins</c:v>
                </c:pt>
                <c:pt idx="2">
                  <c:v>46-60 mins</c:v>
                </c:pt>
                <c:pt idx="3">
                  <c:v>61-75 mins</c:v>
                </c:pt>
                <c:pt idx="4">
                  <c:v>76-90 mins</c:v>
                </c:pt>
                <c:pt idx="5">
                  <c:v>&gt;90 mins</c:v>
                </c:pt>
              </c:strCache>
            </c:strRef>
          </c:cat>
          <c:val>
            <c:numRef>
              <c:f>Sheet5!$B$75:$G$75</c:f>
              <c:numCache>
                <c:formatCode>0.0%</c:formatCode>
                <c:ptCount val="6"/>
                <c:pt idx="0">
                  <c:v>0</c:v>
                </c:pt>
                <c:pt idx="1">
                  <c:v>5.8823529411764705E-2</c:v>
                </c:pt>
                <c:pt idx="2">
                  <c:v>0.11764705882352942</c:v>
                </c:pt>
                <c:pt idx="3">
                  <c:v>0.52941176470588236</c:v>
                </c:pt>
                <c:pt idx="4">
                  <c:v>5.8823529411764705E-2</c:v>
                </c:pt>
                <c:pt idx="5">
                  <c:v>0.2352941176470589</c:v>
                </c:pt>
              </c:numCache>
            </c:numRef>
          </c:val>
        </c:ser>
        <c:ser>
          <c:idx val="3"/>
          <c:order val="3"/>
          <c:tx>
            <c:strRef>
              <c:f>Sheet5!$A$77</c:f>
              <c:strCache>
                <c:ptCount val="1"/>
                <c:pt idx="0">
                  <c:v>Academy (old style)</c:v>
                </c:pt>
              </c:strCache>
            </c:strRef>
          </c:tx>
          <c:cat>
            <c:strRef>
              <c:f>Sheet5!$B$67:$G$67</c:f>
              <c:strCache>
                <c:ptCount val="6"/>
                <c:pt idx="0">
                  <c:v>&lt;30 mins*</c:v>
                </c:pt>
                <c:pt idx="1">
                  <c:v>31-45 mins</c:v>
                </c:pt>
                <c:pt idx="2">
                  <c:v>46-60 mins</c:v>
                </c:pt>
                <c:pt idx="3">
                  <c:v>61-75 mins</c:v>
                </c:pt>
                <c:pt idx="4">
                  <c:v>76-90 mins</c:v>
                </c:pt>
                <c:pt idx="5">
                  <c:v>&gt;90 mins</c:v>
                </c:pt>
              </c:strCache>
            </c:strRef>
          </c:cat>
          <c:val>
            <c:numRef>
              <c:f>Sheet5!$B$77:$G$77</c:f>
              <c:numCache>
                <c:formatCode>0.0%</c:formatCode>
                <c:ptCount val="6"/>
                <c:pt idx="0">
                  <c:v>0</c:v>
                </c:pt>
                <c:pt idx="1">
                  <c:v>0.1111111111111111</c:v>
                </c:pt>
                <c:pt idx="2">
                  <c:v>0.33333333333333331</c:v>
                </c:pt>
                <c:pt idx="3">
                  <c:v>0.22222222222222221</c:v>
                </c:pt>
                <c:pt idx="4">
                  <c:v>0.1111111111111111</c:v>
                </c:pt>
                <c:pt idx="5">
                  <c:v>0.22222222222222221</c:v>
                </c:pt>
              </c:numCache>
            </c:numRef>
          </c:val>
        </c:ser>
        <c:ser>
          <c:idx val="4"/>
          <c:order val="4"/>
          <c:tx>
            <c:strRef>
              <c:f>Sheet5!$A$79</c:f>
              <c:strCache>
                <c:ptCount val="1"/>
                <c:pt idx="0">
                  <c:v>Academy (new)</c:v>
                </c:pt>
              </c:strCache>
            </c:strRef>
          </c:tx>
          <c:cat>
            <c:strRef>
              <c:f>Sheet5!$B$67:$G$67</c:f>
              <c:strCache>
                <c:ptCount val="6"/>
                <c:pt idx="0">
                  <c:v>&lt;30 mins*</c:v>
                </c:pt>
                <c:pt idx="1">
                  <c:v>31-45 mins</c:v>
                </c:pt>
                <c:pt idx="2">
                  <c:v>46-60 mins</c:v>
                </c:pt>
                <c:pt idx="3">
                  <c:v>61-75 mins</c:v>
                </c:pt>
                <c:pt idx="4">
                  <c:v>76-90 mins</c:v>
                </c:pt>
                <c:pt idx="5">
                  <c:v>&gt;90 mins</c:v>
                </c:pt>
              </c:strCache>
            </c:strRef>
          </c:cat>
          <c:val>
            <c:numRef>
              <c:f>Sheet5!$B$79:$G$79</c:f>
              <c:numCache>
                <c:formatCode>0.0%</c:formatCode>
                <c:ptCount val="6"/>
                <c:pt idx="0">
                  <c:v>0</c:v>
                </c:pt>
                <c:pt idx="1">
                  <c:v>3.2786885245901641E-2</c:v>
                </c:pt>
                <c:pt idx="2">
                  <c:v>0.29508196721311525</c:v>
                </c:pt>
                <c:pt idx="3">
                  <c:v>0.1475409836065574</c:v>
                </c:pt>
                <c:pt idx="4">
                  <c:v>0.16393442622950818</c:v>
                </c:pt>
                <c:pt idx="5">
                  <c:v>0.36065573770491832</c:v>
                </c:pt>
              </c:numCache>
            </c:numRef>
          </c:val>
        </c:ser>
        <c:axId val="98842496"/>
        <c:axId val="98844032"/>
      </c:barChart>
      <c:catAx>
        <c:axId val="98842496"/>
        <c:scaling>
          <c:orientation val="minMax"/>
        </c:scaling>
        <c:axPos val="b"/>
        <c:numFmt formatCode="General" sourceLinked="1"/>
        <c:tickLblPos val="nextTo"/>
        <c:crossAx val="98844032"/>
        <c:crosses val="autoZero"/>
        <c:auto val="1"/>
        <c:lblAlgn val="ctr"/>
        <c:lblOffset val="100"/>
      </c:catAx>
      <c:valAx>
        <c:axId val="98844032"/>
        <c:scaling>
          <c:orientation val="minMax"/>
        </c:scaling>
        <c:axPos val="l"/>
        <c:majorGridlines/>
        <c:numFmt formatCode="0.0%" sourceLinked="1"/>
        <c:tickLblPos val="nextTo"/>
        <c:crossAx val="9884249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'KS3'!$A$115</c:f>
              <c:strCache>
                <c:ptCount val="1"/>
                <c:pt idx="0">
                  <c:v>Comprehensive</c:v>
                </c:pt>
              </c:strCache>
            </c:strRef>
          </c:tx>
          <c:cat>
            <c:strRef>
              <c:f>('KS3'!$C$114,'KS3'!$E$114,'KS3'!$G$114,'KS3'!$I$114,'KS3'!$K$114,'KS3'!$M$114)</c:f>
              <c:strCache>
                <c:ptCount val="6"/>
                <c:pt idx="0">
                  <c:v>&lt;30</c:v>
                </c:pt>
                <c:pt idx="1">
                  <c:v>31-45</c:v>
                </c:pt>
                <c:pt idx="2">
                  <c:v>46-60</c:v>
                </c:pt>
                <c:pt idx="3">
                  <c:v>61-75</c:v>
                </c:pt>
                <c:pt idx="4">
                  <c:v>76-90</c:v>
                </c:pt>
                <c:pt idx="5">
                  <c:v>&gt;90</c:v>
                </c:pt>
              </c:strCache>
            </c:strRef>
          </c:cat>
          <c:val>
            <c:numRef>
              <c:f>('KS3'!$C$115,'KS3'!$E$115,'KS3'!$G$115,'KS3'!$I$115,'KS3'!$K$115,'KS3'!$M$115)</c:f>
              <c:numCache>
                <c:formatCode>0.0%</c:formatCode>
                <c:ptCount val="6"/>
                <c:pt idx="0">
                  <c:v>3.2258064516129073E-2</c:v>
                </c:pt>
                <c:pt idx="1">
                  <c:v>0</c:v>
                </c:pt>
                <c:pt idx="2">
                  <c:v>0.12903225806451613</c:v>
                </c:pt>
                <c:pt idx="3">
                  <c:v>9.6774193548387219E-2</c:v>
                </c:pt>
                <c:pt idx="4">
                  <c:v>0.29032258064516175</c:v>
                </c:pt>
                <c:pt idx="5">
                  <c:v>0.45161290322580705</c:v>
                </c:pt>
              </c:numCache>
            </c:numRef>
          </c:val>
        </c:ser>
        <c:ser>
          <c:idx val="1"/>
          <c:order val="1"/>
          <c:tx>
            <c:strRef>
              <c:f>'KS3'!$A$116</c:f>
              <c:strCache>
                <c:ptCount val="1"/>
                <c:pt idx="0">
                  <c:v>Grammar</c:v>
                </c:pt>
              </c:strCache>
            </c:strRef>
          </c:tx>
          <c:cat>
            <c:strRef>
              <c:f>('KS3'!$C$114,'KS3'!$E$114,'KS3'!$G$114,'KS3'!$I$114,'KS3'!$K$114,'KS3'!$M$114)</c:f>
              <c:strCache>
                <c:ptCount val="6"/>
                <c:pt idx="0">
                  <c:v>&lt;30</c:v>
                </c:pt>
                <c:pt idx="1">
                  <c:v>31-45</c:v>
                </c:pt>
                <c:pt idx="2">
                  <c:v>46-60</c:v>
                </c:pt>
                <c:pt idx="3">
                  <c:v>61-75</c:v>
                </c:pt>
                <c:pt idx="4">
                  <c:v>76-90</c:v>
                </c:pt>
                <c:pt idx="5">
                  <c:v>&gt;90</c:v>
                </c:pt>
              </c:strCache>
            </c:strRef>
          </c:cat>
          <c:val>
            <c:numRef>
              <c:f>('KS3'!$C$116,'KS3'!$E$116,'KS3'!$G$116,'KS3'!$I$116,'KS3'!$K$116,'KS3'!$M$116)</c:f>
              <c:numCache>
                <c:formatCode>0.0%</c:formatCode>
                <c:ptCount val="6"/>
                <c:pt idx="0">
                  <c:v>0</c:v>
                </c:pt>
                <c:pt idx="1">
                  <c:v>0</c:v>
                </c:pt>
                <c:pt idx="2">
                  <c:v>0</c:v>
                </c:pt>
                <c:pt idx="3">
                  <c:v>1</c:v>
                </c:pt>
                <c:pt idx="4">
                  <c:v>0</c:v>
                </c:pt>
                <c:pt idx="5">
                  <c:v>0</c:v>
                </c:pt>
              </c:numCache>
            </c:numRef>
          </c:val>
        </c:ser>
        <c:ser>
          <c:idx val="2"/>
          <c:order val="2"/>
          <c:tx>
            <c:strRef>
              <c:f>'KS3'!$A$117</c:f>
              <c:strCache>
                <c:ptCount val="1"/>
                <c:pt idx="0">
                  <c:v>Independents</c:v>
                </c:pt>
              </c:strCache>
            </c:strRef>
          </c:tx>
          <c:cat>
            <c:strRef>
              <c:f>('KS3'!$C$114,'KS3'!$E$114,'KS3'!$G$114,'KS3'!$I$114,'KS3'!$K$114,'KS3'!$M$114)</c:f>
              <c:strCache>
                <c:ptCount val="6"/>
                <c:pt idx="0">
                  <c:v>&lt;30</c:v>
                </c:pt>
                <c:pt idx="1">
                  <c:v>31-45</c:v>
                </c:pt>
                <c:pt idx="2">
                  <c:v>46-60</c:v>
                </c:pt>
                <c:pt idx="3">
                  <c:v>61-75</c:v>
                </c:pt>
                <c:pt idx="4">
                  <c:v>76-90</c:v>
                </c:pt>
                <c:pt idx="5">
                  <c:v>&gt;90</c:v>
                </c:pt>
              </c:strCache>
            </c:strRef>
          </c:cat>
          <c:val>
            <c:numRef>
              <c:f>('KS3'!$C$117,'KS3'!$E$117,'KS3'!$G$117,'KS3'!$I$117,'KS3'!$K$117,'KS3'!$M$117)</c:f>
              <c:numCache>
                <c:formatCode>0.0%</c:formatCode>
                <c:ptCount val="6"/>
                <c:pt idx="0">
                  <c:v>0</c:v>
                </c:pt>
                <c:pt idx="1">
                  <c:v>0</c:v>
                </c:pt>
                <c:pt idx="2">
                  <c:v>0.5</c:v>
                </c:pt>
                <c:pt idx="3">
                  <c:v>0.5</c:v>
                </c:pt>
                <c:pt idx="4">
                  <c:v>0</c:v>
                </c:pt>
                <c:pt idx="5">
                  <c:v>0</c:v>
                </c:pt>
              </c:numCache>
            </c:numRef>
          </c:val>
        </c:ser>
        <c:ser>
          <c:idx val="3"/>
          <c:order val="3"/>
          <c:tx>
            <c:strRef>
              <c:f>'KS3'!$A$118</c:f>
              <c:strCache>
                <c:ptCount val="1"/>
                <c:pt idx="0">
                  <c:v>Academy</c:v>
                </c:pt>
              </c:strCache>
            </c:strRef>
          </c:tx>
          <c:cat>
            <c:strRef>
              <c:f>('KS3'!$C$114,'KS3'!$E$114,'KS3'!$G$114,'KS3'!$I$114,'KS3'!$K$114,'KS3'!$M$114)</c:f>
              <c:strCache>
                <c:ptCount val="6"/>
                <c:pt idx="0">
                  <c:v>&lt;30</c:v>
                </c:pt>
                <c:pt idx="1">
                  <c:v>31-45</c:v>
                </c:pt>
                <c:pt idx="2">
                  <c:v>46-60</c:v>
                </c:pt>
                <c:pt idx="3">
                  <c:v>61-75</c:v>
                </c:pt>
                <c:pt idx="4">
                  <c:v>76-90</c:v>
                </c:pt>
                <c:pt idx="5">
                  <c:v>&gt;90</c:v>
                </c:pt>
              </c:strCache>
            </c:strRef>
          </c:cat>
          <c:val>
            <c:numRef>
              <c:f>('KS3'!$C$118,'KS3'!$E$118,'KS3'!$G$118,'KS3'!$I$118,'KS3'!$K$118,'KS3'!$M$118)</c:f>
              <c:numCache>
                <c:formatCode>0.0%</c:formatCode>
                <c:ptCount val="6"/>
                <c:pt idx="0">
                  <c:v>0.2</c:v>
                </c:pt>
                <c:pt idx="1">
                  <c:v>0.1</c:v>
                </c:pt>
                <c:pt idx="2">
                  <c:v>0.30000000000000032</c:v>
                </c:pt>
                <c:pt idx="3">
                  <c:v>0.1</c:v>
                </c:pt>
                <c:pt idx="4">
                  <c:v>0.1</c:v>
                </c:pt>
                <c:pt idx="5">
                  <c:v>0.2</c:v>
                </c:pt>
              </c:numCache>
            </c:numRef>
          </c:val>
        </c:ser>
        <c:ser>
          <c:idx val="4"/>
          <c:order val="4"/>
          <c:tx>
            <c:strRef>
              <c:f>'KS3'!$A$119</c:f>
              <c:strCache>
                <c:ptCount val="1"/>
                <c:pt idx="0">
                  <c:v>New Academy</c:v>
                </c:pt>
              </c:strCache>
            </c:strRef>
          </c:tx>
          <c:cat>
            <c:strRef>
              <c:f>('KS3'!$C$114,'KS3'!$E$114,'KS3'!$G$114,'KS3'!$I$114,'KS3'!$K$114,'KS3'!$M$114)</c:f>
              <c:strCache>
                <c:ptCount val="6"/>
                <c:pt idx="0">
                  <c:v>&lt;30</c:v>
                </c:pt>
                <c:pt idx="1">
                  <c:v>31-45</c:v>
                </c:pt>
                <c:pt idx="2">
                  <c:v>46-60</c:v>
                </c:pt>
                <c:pt idx="3">
                  <c:v>61-75</c:v>
                </c:pt>
                <c:pt idx="4">
                  <c:v>76-90</c:v>
                </c:pt>
                <c:pt idx="5">
                  <c:v>&gt;90</c:v>
                </c:pt>
              </c:strCache>
            </c:strRef>
          </c:cat>
          <c:val>
            <c:numRef>
              <c:f>('KS3'!$C$119,'KS3'!$E$119,'KS3'!$G$119,'KS3'!$I$119,'KS3'!$K$119,'KS3'!$M$119)</c:f>
              <c:numCache>
                <c:formatCode>0.0%</c:formatCode>
                <c:ptCount val="6"/>
                <c:pt idx="0">
                  <c:v>0</c:v>
                </c:pt>
                <c:pt idx="1">
                  <c:v>0.23255813953488388</c:v>
                </c:pt>
                <c:pt idx="2">
                  <c:v>0.13953488372093042</c:v>
                </c:pt>
                <c:pt idx="3">
                  <c:v>9.3023255813953501E-2</c:v>
                </c:pt>
                <c:pt idx="4">
                  <c:v>0.18604651162790714</c:v>
                </c:pt>
                <c:pt idx="5">
                  <c:v>0.34883720930232581</c:v>
                </c:pt>
              </c:numCache>
            </c:numRef>
          </c:val>
        </c:ser>
        <c:axId val="98879360"/>
        <c:axId val="98880896"/>
      </c:barChart>
      <c:catAx>
        <c:axId val="98879360"/>
        <c:scaling>
          <c:orientation val="minMax"/>
        </c:scaling>
        <c:axPos val="b"/>
        <c:tickLblPos val="nextTo"/>
        <c:crossAx val="98880896"/>
        <c:crosses val="autoZero"/>
        <c:auto val="1"/>
        <c:lblAlgn val="ctr"/>
        <c:lblOffset val="100"/>
      </c:catAx>
      <c:valAx>
        <c:axId val="98880896"/>
        <c:scaling>
          <c:orientation val="minMax"/>
          <c:max val="1"/>
        </c:scaling>
        <c:axPos val="l"/>
        <c:majorGridlines/>
        <c:numFmt formatCode="0.0%" sourceLinked="1"/>
        <c:tickLblPos val="nextTo"/>
        <c:crossAx val="9887936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'KS4'!$A$81</c:f>
              <c:strCache>
                <c:ptCount val="1"/>
                <c:pt idx="0">
                  <c:v>Comprehensive</c:v>
                </c:pt>
              </c:strCache>
            </c:strRef>
          </c:tx>
          <c:cat>
            <c:strRef>
              <c:f>('KS4'!$D$80,'KS4'!$F$80,'KS4'!$H$80,'KS4'!$J$80,'KS4'!$L$80,'KS4'!$N$80)</c:f>
              <c:strCache>
                <c:ptCount val="6"/>
                <c:pt idx="0">
                  <c:v>0%</c:v>
                </c:pt>
                <c:pt idx="1">
                  <c:v>1-15%</c:v>
                </c:pt>
                <c:pt idx="2">
                  <c:v>16-30%</c:v>
                </c:pt>
                <c:pt idx="3">
                  <c:v>31-45%</c:v>
                </c:pt>
                <c:pt idx="4">
                  <c:v>46-60%</c:v>
                </c:pt>
                <c:pt idx="5">
                  <c:v>&gt;60%</c:v>
                </c:pt>
              </c:strCache>
            </c:strRef>
          </c:cat>
          <c:val>
            <c:numRef>
              <c:f>('KS4'!$D$81,'KS4'!$F$81,'KS4'!$H$81,'KS4'!$J$81,'KS4'!$L$81,'KS4'!$N$81)</c:f>
              <c:numCache>
                <c:formatCode>0.0%</c:formatCode>
                <c:ptCount val="6"/>
                <c:pt idx="0">
                  <c:v>0</c:v>
                </c:pt>
                <c:pt idx="1">
                  <c:v>1.7341040462427744E-2</c:v>
                </c:pt>
                <c:pt idx="2">
                  <c:v>0.2138728323699422</c:v>
                </c:pt>
                <c:pt idx="3">
                  <c:v>0.31791907514450946</c:v>
                </c:pt>
                <c:pt idx="4">
                  <c:v>0.34104046242774588</c:v>
                </c:pt>
                <c:pt idx="5">
                  <c:v>0.10982658959537571</c:v>
                </c:pt>
              </c:numCache>
            </c:numRef>
          </c:val>
        </c:ser>
        <c:ser>
          <c:idx val="1"/>
          <c:order val="1"/>
          <c:tx>
            <c:strRef>
              <c:f>'KS4'!$A$82</c:f>
              <c:strCache>
                <c:ptCount val="1"/>
                <c:pt idx="0">
                  <c:v>Grammar</c:v>
                </c:pt>
              </c:strCache>
            </c:strRef>
          </c:tx>
          <c:cat>
            <c:strRef>
              <c:f>('KS4'!$D$80,'KS4'!$F$80,'KS4'!$H$80,'KS4'!$J$80,'KS4'!$L$80,'KS4'!$N$80)</c:f>
              <c:strCache>
                <c:ptCount val="6"/>
                <c:pt idx="0">
                  <c:v>0%</c:v>
                </c:pt>
                <c:pt idx="1">
                  <c:v>1-15%</c:v>
                </c:pt>
                <c:pt idx="2">
                  <c:v>16-30%</c:v>
                </c:pt>
                <c:pt idx="3">
                  <c:v>31-45%</c:v>
                </c:pt>
                <c:pt idx="4">
                  <c:v>46-60%</c:v>
                </c:pt>
                <c:pt idx="5">
                  <c:v>&gt;60%</c:v>
                </c:pt>
              </c:strCache>
            </c:strRef>
          </c:cat>
          <c:val>
            <c:numRef>
              <c:f>('KS4'!$D$82,'KS4'!$F$82,'KS4'!$H$82,'KS4'!$J$82,'KS4'!$L$82,'KS4'!$N$82)</c:f>
              <c:numCache>
                <c:formatCode>0.0%</c:formatCode>
                <c:ptCount val="6"/>
                <c:pt idx="0">
                  <c:v>0</c:v>
                </c:pt>
                <c:pt idx="1">
                  <c:v>0</c:v>
                </c:pt>
                <c:pt idx="2">
                  <c:v>0</c:v>
                </c:pt>
                <c:pt idx="3">
                  <c:v>0.16666666666666666</c:v>
                </c:pt>
                <c:pt idx="4">
                  <c:v>0.5</c:v>
                </c:pt>
                <c:pt idx="5">
                  <c:v>0.33333333333333331</c:v>
                </c:pt>
              </c:numCache>
            </c:numRef>
          </c:val>
        </c:ser>
        <c:ser>
          <c:idx val="2"/>
          <c:order val="2"/>
          <c:tx>
            <c:strRef>
              <c:f>'KS4'!$A$83</c:f>
              <c:strCache>
                <c:ptCount val="1"/>
                <c:pt idx="0">
                  <c:v>Independent</c:v>
                </c:pt>
              </c:strCache>
            </c:strRef>
          </c:tx>
          <c:cat>
            <c:strRef>
              <c:f>('KS4'!$D$80,'KS4'!$F$80,'KS4'!$H$80,'KS4'!$J$80,'KS4'!$L$80,'KS4'!$N$80)</c:f>
              <c:strCache>
                <c:ptCount val="6"/>
                <c:pt idx="0">
                  <c:v>0%</c:v>
                </c:pt>
                <c:pt idx="1">
                  <c:v>1-15%</c:v>
                </c:pt>
                <c:pt idx="2">
                  <c:v>16-30%</c:v>
                </c:pt>
                <c:pt idx="3">
                  <c:v>31-45%</c:v>
                </c:pt>
                <c:pt idx="4">
                  <c:v>46-60%</c:v>
                </c:pt>
                <c:pt idx="5">
                  <c:v>&gt;60%</c:v>
                </c:pt>
              </c:strCache>
            </c:strRef>
          </c:cat>
          <c:val>
            <c:numRef>
              <c:f>('KS4'!$D$83,'KS4'!$F$83,'KS4'!$H$83,'KS4'!$J$83,'KS4'!$L$83,'KS4'!$N$83)</c:f>
              <c:numCache>
                <c:formatCode>0.0%</c:formatCode>
                <c:ptCount val="6"/>
                <c:pt idx="0">
                  <c:v>0</c:v>
                </c:pt>
                <c:pt idx="1">
                  <c:v>2.4390243902439025E-2</c:v>
                </c:pt>
                <c:pt idx="2">
                  <c:v>2.4390243902439025E-2</c:v>
                </c:pt>
                <c:pt idx="3">
                  <c:v>0.12195121951219511</c:v>
                </c:pt>
                <c:pt idx="4">
                  <c:v>0.2439024390243906</c:v>
                </c:pt>
                <c:pt idx="5">
                  <c:v>0.58536585365853722</c:v>
                </c:pt>
              </c:numCache>
            </c:numRef>
          </c:val>
        </c:ser>
        <c:ser>
          <c:idx val="3"/>
          <c:order val="3"/>
          <c:tx>
            <c:strRef>
              <c:f>'KS4'!$A$84</c:f>
              <c:strCache>
                <c:ptCount val="1"/>
                <c:pt idx="0">
                  <c:v>Academy</c:v>
                </c:pt>
              </c:strCache>
            </c:strRef>
          </c:tx>
          <c:cat>
            <c:strRef>
              <c:f>('KS4'!$D$80,'KS4'!$F$80,'KS4'!$H$80,'KS4'!$J$80,'KS4'!$L$80,'KS4'!$N$80)</c:f>
              <c:strCache>
                <c:ptCount val="6"/>
                <c:pt idx="0">
                  <c:v>0%</c:v>
                </c:pt>
                <c:pt idx="1">
                  <c:v>1-15%</c:v>
                </c:pt>
                <c:pt idx="2">
                  <c:v>16-30%</c:v>
                </c:pt>
                <c:pt idx="3">
                  <c:v>31-45%</c:v>
                </c:pt>
                <c:pt idx="4">
                  <c:v>46-60%</c:v>
                </c:pt>
                <c:pt idx="5">
                  <c:v>&gt;60%</c:v>
                </c:pt>
              </c:strCache>
            </c:strRef>
          </c:cat>
          <c:val>
            <c:numRef>
              <c:f>('KS4'!$D$84,'KS4'!$F$84,'KS4'!$H$84,'KS4'!$J$84,'KS4'!$L$84,'KS4'!$N$84)</c:f>
              <c:numCache>
                <c:formatCode>0.0%</c:formatCode>
                <c:ptCount val="6"/>
                <c:pt idx="0">
                  <c:v>0</c:v>
                </c:pt>
                <c:pt idx="1">
                  <c:v>0.125</c:v>
                </c:pt>
                <c:pt idx="2">
                  <c:v>0.125</c:v>
                </c:pt>
                <c:pt idx="3">
                  <c:v>0.37500000000000033</c:v>
                </c:pt>
                <c:pt idx="4">
                  <c:v>0.125</c:v>
                </c:pt>
                <c:pt idx="5">
                  <c:v>0.25</c:v>
                </c:pt>
              </c:numCache>
            </c:numRef>
          </c:val>
        </c:ser>
        <c:ser>
          <c:idx val="4"/>
          <c:order val="4"/>
          <c:tx>
            <c:strRef>
              <c:f>'KS4'!$A$85</c:f>
              <c:strCache>
                <c:ptCount val="1"/>
                <c:pt idx="0">
                  <c:v>New Academy</c:v>
                </c:pt>
              </c:strCache>
            </c:strRef>
          </c:tx>
          <c:cat>
            <c:strRef>
              <c:f>('KS4'!$D$80,'KS4'!$F$80,'KS4'!$H$80,'KS4'!$J$80,'KS4'!$L$80,'KS4'!$N$80)</c:f>
              <c:strCache>
                <c:ptCount val="6"/>
                <c:pt idx="0">
                  <c:v>0%</c:v>
                </c:pt>
                <c:pt idx="1">
                  <c:v>1-15%</c:v>
                </c:pt>
                <c:pt idx="2">
                  <c:v>16-30%</c:v>
                </c:pt>
                <c:pt idx="3">
                  <c:v>31-45%</c:v>
                </c:pt>
                <c:pt idx="4">
                  <c:v>46-60%</c:v>
                </c:pt>
                <c:pt idx="5">
                  <c:v>&gt;60%</c:v>
                </c:pt>
              </c:strCache>
            </c:strRef>
          </c:cat>
          <c:val>
            <c:numRef>
              <c:f>('KS4'!$D$85,'KS4'!$F$85,'KS4'!$H$85,'KS4'!$J$85,'KS4'!$L$85,'KS4'!$N$85)</c:f>
              <c:numCache>
                <c:formatCode>0.0%</c:formatCode>
                <c:ptCount val="6"/>
                <c:pt idx="0">
                  <c:v>7.3529411764705881E-3</c:v>
                </c:pt>
                <c:pt idx="1">
                  <c:v>2.2058823529411804E-2</c:v>
                </c:pt>
                <c:pt idx="2">
                  <c:v>0.11764705882352942</c:v>
                </c:pt>
                <c:pt idx="3">
                  <c:v>0.30147058823529466</c:v>
                </c:pt>
                <c:pt idx="4">
                  <c:v>0.36029411764705882</c:v>
                </c:pt>
                <c:pt idx="5">
                  <c:v>0.19117647058823528</c:v>
                </c:pt>
              </c:numCache>
            </c:numRef>
          </c:val>
        </c:ser>
        <c:axId val="127567744"/>
        <c:axId val="127569280"/>
      </c:barChart>
      <c:catAx>
        <c:axId val="127567744"/>
        <c:scaling>
          <c:orientation val="minMax"/>
        </c:scaling>
        <c:axPos val="b"/>
        <c:tickLblPos val="nextTo"/>
        <c:crossAx val="127569280"/>
        <c:crosses val="autoZero"/>
        <c:auto val="1"/>
        <c:lblAlgn val="ctr"/>
        <c:lblOffset val="100"/>
      </c:catAx>
      <c:valAx>
        <c:axId val="127569280"/>
        <c:scaling>
          <c:orientation val="minMax"/>
          <c:max val="1"/>
        </c:scaling>
        <c:axPos val="l"/>
        <c:majorGridlines/>
        <c:numFmt formatCode="0.0%" sourceLinked="1"/>
        <c:tickLblPos val="nextTo"/>
        <c:crossAx val="12756774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'KS4'!$A$114</c:f>
              <c:strCache>
                <c:ptCount val="1"/>
                <c:pt idx="0">
                  <c:v>Comprehensive</c:v>
                </c:pt>
              </c:strCache>
            </c:strRef>
          </c:tx>
          <c:cat>
            <c:strRef>
              <c:f>('KS4'!$D$113,'KS4'!$F$113,'KS4'!$H$113,'KS4'!$J$113,'KS4'!$L$113,'KS4'!$N$113)</c:f>
              <c:strCache>
                <c:ptCount val="6"/>
                <c:pt idx="0">
                  <c:v>0%</c:v>
                </c:pt>
                <c:pt idx="1">
                  <c:v>1-15%</c:v>
                </c:pt>
                <c:pt idx="2">
                  <c:v>16-30%</c:v>
                </c:pt>
                <c:pt idx="3">
                  <c:v>31-45%</c:v>
                </c:pt>
                <c:pt idx="4">
                  <c:v>46-60%</c:v>
                </c:pt>
                <c:pt idx="5">
                  <c:v>&gt;60%</c:v>
                </c:pt>
              </c:strCache>
            </c:strRef>
          </c:cat>
          <c:val>
            <c:numRef>
              <c:f>('KS4'!$D$114,'KS4'!$F$114,'KS4'!$H$114,'KS4'!$J$114,'KS4'!$L$114,'KS4'!$N$114)</c:f>
              <c:numCache>
                <c:formatCode>0.0%</c:formatCode>
                <c:ptCount val="6"/>
                <c:pt idx="0">
                  <c:v>0</c:v>
                </c:pt>
                <c:pt idx="1">
                  <c:v>3.0303030303030311E-2</c:v>
                </c:pt>
                <c:pt idx="2">
                  <c:v>0.33333333333333331</c:v>
                </c:pt>
                <c:pt idx="3">
                  <c:v>0.30303030303030332</c:v>
                </c:pt>
                <c:pt idx="4">
                  <c:v>0.27272727272727282</c:v>
                </c:pt>
                <c:pt idx="5">
                  <c:v>6.0606060606060622E-2</c:v>
                </c:pt>
              </c:numCache>
            </c:numRef>
          </c:val>
        </c:ser>
        <c:ser>
          <c:idx val="1"/>
          <c:order val="1"/>
          <c:tx>
            <c:strRef>
              <c:f>'KS4'!$A$115</c:f>
              <c:strCache>
                <c:ptCount val="1"/>
                <c:pt idx="0">
                  <c:v>Grammar</c:v>
                </c:pt>
              </c:strCache>
            </c:strRef>
          </c:tx>
          <c:cat>
            <c:strRef>
              <c:f>('KS4'!$D$113,'KS4'!$F$113,'KS4'!$H$113,'KS4'!$J$113,'KS4'!$L$113,'KS4'!$N$113)</c:f>
              <c:strCache>
                <c:ptCount val="6"/>
                <c:pt idx="0">
                  <c:v>0%</c:v>
                </c:pt>
                <c:pt idx="1">
                  <c:v>1-15%</c:v>
                </c:pt>
                <c:pt idx="2">
                  <c:v>16-30%</c:v>
                </c:pt>
                <c:pt idx="3">
                  <c:v>31-45%</c:v>
                </c:pt>
                <c:pt idx="4">
                  <c:v>46-60%</c:v>
                </c:pt>
                <c:pt idx="5">
                  <c:v>&gt;60%</c:v>
                </c:pt>
              </c:strCache>
            </c:strRef>
          </c:cat>
          <c:val>
            <c:numRef>
              <c:f>('KS4'!$D$115,'KS4'!$F$115,'KS4'!$H$115,'KS4'!$J$115,'KS4'!$L$115,'KS4'!$N$115)</c:f>
              <c:numCache>
                <c:formatCode>0.0%</c:formatCode>
                <c:ptCount val="6"/>
                <c:pt idx="0">
                  <c:v>0</c:v>
                </c:pt>
                <c:pt idx="1">
                  <c:v>0</c:v>
                </c:pt>
                <c:pt idx="2">
                  <c:v>0</c:v>
                </c:pt>
                <c:pt idx="3">
                  <c:v>0</c:v>
                </c:pt>
                <c:pt idx="4">
                  <c:v>0</c:v>
                </c:pt>
                <c:pt idx="5">
                  <c:v>0</c:v>
                </c:pt>
              </c:numCache>
            </c:numRef>
          </c:val>
        </c:ser>
        <c:ser>
          <c:idx val="2"/>
          <c:order val="2"/>
          <c:tx>
            <c:strRef>
              <c:f>'KS4'!$A$116</c:f>
              <c:strCache>
                <c:ptCount val="1"/>
                <c:pt idx="0">
                  <c:v>Independent</c:v>
                </c:pt>
              </c:strCache>
            </c:strRef>
          </c:tx>
          <c:cat>
            <c:strRef>
              <c:f>('KS4'!$D$113,'KS4'!$F$113,'KS4'!$H$113,'KS4'!$J$113,'KS4'!$L$113,'KS4'!$N$113)</c:f>
              <c:strCache>
                <c:ptCount val="6"/>
                <c:pt idx="0">
                  <c:v>0%</c:v>
                </c:pt>
                <c:pt idx="1">
                  <c:v>1-15%</c:v>
                </c:pt>
                <c:pt idx="2">
                  <c:v>16-30%</c:v>
                </c:pt>
                <c:pt idx="3">
                  <c:v>31-45%</c:v>
                </c:pt>
                <c:pt idx="4">
                  <c:v>46-60%</c:v>
                </c:pt>
                <c:pt idx="5">
                  <c:v>&gt;60%</c:v>
                </c:pt>
              </c:strCache>
            </c:strRef>
          </c:cat>
          <c:val>
            <c:numRef>
              <c:f>('KS4'!$D$116,'KS4'!$F$116,'KS4'!$H$116,'KS4'!$J$116,'KS4'!$L$116,'KS4'!$N$116)</c:f>
              <c:numCache>
                <c:formatCode>0.0%</c:formatCode>
                <c:ptCount val="6"/>
                <c:pt idx="0">
                  <c:v>0</c:v>
                </c:pt>
                <c:pt idx="1">
                  <c:v>0</c:v>
                </c:pt>
                <c:pt idx="2">
                  <c:v>1</c:v>
                </c:pt>
                <c:pt idx="3">
                  <c:v>0</c:v>
                </c:pt>
                <c:pt idx="4">
                  <c:v>0</c:v>
                </c:pt>
                <c:pt idx="5">
                  <c:v>0</c:v>
                </c:pt>
              </c:numCache>
            </c:numRef>
          </c:val>
        </c:ser>
        <c:ser>
          <c:idx val="3"/>
          <c:order val="3"/>
          <c:tx>
            <c:strRef>
              <c:f>'KS4'!$A$117</c:f>
              <c:strCache>
                <c:ptCount val="1"/>
                <c:pt idx="0">
                  <c:v>Academy</c:v>
                </c:pt>
              </c:strCache>
            </c:strRef>
          </c:tx>
          <c:cat>
            <c:strRef>
              <c:f>('KS4'!$D$113,'KS4'!$F$113,'KS4'!$H$113,'KS4'!$J$113,'KS4'!$L$113,'KS4'!$N$113)</c:f>
              <c:strCache>
                <c:ptCount val="6"/>
                <c:pt idx="0">
                  <c:v>0%</c:v>
                </c:pt>
                <c:pt idx="1">
                  <c:v>1-15%</c:v>
                </c:pt>
                <c:pt idx="2">
                  <c:v>16-30%</c:v>
                </c:pt>
                <c:pt idx="3">
                  <c:v>31-45%</c:v>
                </c:pt>
                <c:pt idx="4">
                  <c:v>46-60%</c:v>
                </c:pt>
                <c:pt idx="5">
                  <c:v>&gt;60%</c:v>
                </c:pt>
              </c:strCache>
            </c:strRef>
          </c:cat>
          <c:val>
            <c:numRef>
              <c:f>('KS4'!$D$117,'KS4'!$F$117,'KS4'!$H$117,'KS4'!$J$117,'KS4'!$L$117,'KS4'!$N$117)</c:f>
              <c:numCache>
                <c:formatCode>0.0%</c:formatCode>
                <c:ptCount val="6"/>
                <c:pt idx="0">
                  <c:v>0</c:v>
                </c:pt>
                <c:pt idx="1">
                  <c:v>0.1111111111111111</c:v>
                </c:pt>
                <c:pt idx="2">
                  <c:v>0.55555555555555569</c:v>
                </c:pt>
                <c:pt idx="3">
                  <c:v>0.22222222222222221</c:v>
                </c:pt>
                <c:pt idx="4">
                  <c:v>0.1111111111111111</c:v>
                </c:pt>
                <c:pt idx="5">
                  <c:v>0</c:v>
                </c:pt>
              </c:numCache>
            </c:numRef>
          </c:val>
        </c:ser>
        <c:ser>
          <c:idx val="4"/>
          <c:order val="4"/>
          <c:tx>
            <c:strRef>
              <c:f>'KS4'!$A$118</c:f>
              <c:strCache>
                <c:ptCount val="1"/>
                <c:pt idx="0">
                  <c:v>New Academy</c:v>
                </c:pt>
              </c:strCache>
            </c:strRef>
          </c:tx>
          <c:cat>
            <c:strRef>
              <c:f>('KS4'!$D$113,'KS4'!$F$113,'KS4'!$H$113,'KS4'!$J$113,'KS4'!$L$113,'KS4'!$N$113)</c:f>
              <c:strCache>
                <c:ptCount val="6"/>
                <c:pt idx="0">
                  <c:v>0%</c:v>
                </c:pt>
                <c:pt idx="1">
                  <c:v>1-15%</c:v>
                </c:pt>
                <c:pt idx="2">
                  <c:v>16-30%</c:v>
                </c:pt>
                <c:pt idx="3">
                  <c:v>31-45%</c:v>
                </c:pt>
                <c:pt idx="4">
                  <c:v>46-60%</c:v>
                </c:pt>
                <c:pt idx="5">
                  <c:v>&gt;60%</c:v>
                </c:pt>
              </c:strCache>
            </c:strRef>
          </c:cat>
          <c:val>
            <c:numRef>
              <c:f>('KS4'!$D$118,'KS4'!$F$118,'KS4'!$H$118,'KS4'!$J$118,'KS4'!$L$118,'KS4'!$N$118)</c:f>
              <c:numCache>
                <c:formatCode>0.0%</c:formatCode>
                <c:ptCount val="6"/>
                <c:pt idx="0">
                  <c:v>0.11428571428571441</c:v>
                </c:pt>
                <c:pt idx="1">
                  <c:v>0.11428571428571441</c:v>
                </c:pt>
                <c:pt idx="2">
                  <c:v>0.31428571428571461</c:v>
                </c:pt>
                <c:pt idx="3">
                  <c:v>0.17142857142857137</c:v>
                </c:pt>
                <c:pt idx="4">
                  <c:v>0.2</c:v>
                </c:pt>
                <c:pt idx="5">
                  <c:v>8.5714285714285715E-2</c:v>
                </c:pt>
              </c:numCache>
            </c:numRef>
          </c:val>
        </c:ser>
        <c:axId val="127993728"/>
        <c:axId val="127995264"/>
      </c:barChart>
      <c:catAx>
        <c:axId val="127993728"/>
        <c:scaling>
          <c:orientation val="minMax"/>
        </c:scaling>
        <c:axPos val="b"/>
        <c:tickLblPos val="nextTo"/>
        <c:crossAx val="127995264"/>
        <c:crosses val="autoZero"/>
        <c:auto val="1"/>
        <c:lblAlgn val="ctr"/>
        <c:lblOffset val="100"/>
      </c:catAx>
      <c:valAx>
        <c:axId val="127995264"/>
        <c:scaling>
          <c:orientation val="minMax"/>
          <c:max val="1"/>
        </c:scaling>
        <c:axPos val="l"/>
        <c:majorGridlines/>
        <c:numFmt formatCode="0.0%" sourceLinked="1"/>
        <c:tickLblPos val="nextTo"/>
        <c:crossAx val="12799372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v>Comprehensive </c:v>
          </c:tx>
          <c:cat>
            <c:strRef>
              <c:f>'Specialist teaching GCSE'!$C$3:$F$3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GCSE'!$C$5:$F$5</c:f>
              <c:numCache>
                <c:formatCode>0.0%</c:formatCode>
                <c:ptCount val="4"/>
                <c:pt idx="0">
                  <c:v>0.79411764705882371</c:v>
                </c:pt>
                <c:pt idx="1">
                  <c:v>6.3725490196078483E-2</c:v>
                </c:pt>
                <c:pt idx="2">
                  <c:v>0.11764705882352942</c:v>
                </c:pt>
                <c:pt idx="3">
                  <c:v>2.4509803921568631E-2</c:v>
                </c:pt>
              </c:numCache>
            </c:numRef>
          </c:val>
        </c:ser>
        <c:ser>
          <c:idx val="1"/>
          <c:order val="1"/>
          <c:tx>
            <c:v>Grammar</c:v>
          </c:tx>
          <c:cat>
            <c:strRef>
              <c:f>'Specialist teaching GCSE'!$C$3:$F$3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GCSE'!$C$7:$F$7</c:f>
              <c:numCache>
                <c:formatCode>0.0%</c:formatCode>
                <c:ptCount val="4"/>
                <c:pt idx="0">
                  <c:v>0.75000000000000078</c:v>
                </c:pt>
                <c:pt idx="1">
                  <c:v>0.125</c:v>
                </c:pt>
                <c:pt idx="2">
                  <c:v>0.125</c:v>
                </c:pt>
                <c:pt idx="3">
                  <c:v>0</c:v>
                </c:pt>
              </c:numCache>
            </c:numRef>
          </c:val>
        </c:ser>
        <c:ser>
          <c:idx val="2"/>
          <c:order val="2"/>
          <c:tx>
            <c:v>Independent</c:v>
          </c:tx>
          <c:cat>
            <c:strRef>
              <c:f>'Specialist teaching GCSE'!$C$3:$F$3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GCSE'!$C$9:$F$9</c:f>
              <c:numCache>
                <c:formatCode>0.0%</c:formatCode>
                <c:ptCount val="4"/>
                <c:pt idx="0">
                  <c:v>0.87804878048780555</c:v>
                </c:pt>
                <c:pt idx="1">
                  <c:v>4.8780487804878161E-2</c:v>
                </c:pt>
                <c:pt idx="2">
                  <c:v>7.3170731707317069E-2</c:v>
                </c:pt>
                <c:pt idx="3">
                  <c:v>0</c:v>
                </c:pt>
              </c:numCache>
            </c:numRef>
          </c:val>
        </c:ser>
        <c:ser>
          <c:idx val="3"/>
          <c:order val="3"/>
          <c:tx>
            <c:strRef>
              <c:f>'Specialist teaching GCSE'!$A$10</c:f>
              <c:strCache>
                <c:ptCount val="1"/>
                <c:pt idx="0">
                  <c:v>Academy (old style)</c:v>
                </c:pt>
              </c:strCache>
            </c:strRef>
          </c:tx>
          <c:cat>
            <c:strRef>
              <c:f>'Specialist teaching GCSE'!$C$3:$F$3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GCSE'!$C$11:$F$11</c:f>
              <c:numCache>
                <c:formatCode>0.0%</c:formatCode>
                <c:ptCount val="4"/>
                <c:pt idx="0">
                  <c:v>0.64705882352941324</c:v>
                </c:pt>
                <c:pt idx="1">
                  <c:v>0.17647058823529421</c:v>
                </c:pt>
                <c:pt idx="2">
                  <c:v>0.11764705882352942</c:v>
                </c:pt>
                <c:pt idx="3">
                  <c:v>5.8823529411764705E-2</c:v>
                </c:pt>
              </c:numCache>
            </c:numRef>
          </c:val>
        </c:ser>
        <c:ser>
          <c:idx val="4"/>
          <c:order val="4"/>
          <c:tx>
            <c:v>Academy (new)</c:v>
          </c:tx>
          <c:cat>
            <c:strRef>
              <c:f>'Specialist teaching GCSE'!$C$3:$F$3</c:f>
              <c:strCache>
                <c:ptCount val="4"/>
                <c:pt idx="0">
                  <c:v>All classes taught by specialists</c:v>
                </c:pt>
                <c:pt idx="1">
                  <c:v>Up to 25% taught by non-specialists</c:v>
                </c:pt>
                <c:pt idx="2">
                  <c:v>26%- 50% taught by non-specialists</c:v>
                </c:pt>
                <c:pt idx="3">
                  <c:v>More than 50% taught by non-specialists</c:v>
                </c:pt>
              </c:strCache>
            </c:strRef>
          </c:cat>
          <c:val>
            <c:numRef>
              <c:f>'Specialist teaching GCSE'!$C$13:$F$13</c:f>
              <c:numCache>
                <c:formatCode>0.0%</c:formatCode>
                <c:ptCount val="4"/>
                <c:pt idx="0">
                  <c:v>0.84023668639053262</c:v>
                </c:pt>
                <c:pt idx="1">
                  <c:v>7.6923076923076927E-2</c:v>
                </c:pt>
                <c:pt idx="2">
                  <c:v>5.3254437869822494E-2</c:v>
                </c:pt>
                <c:pt idx="3">
                  <c:v>2.9585798816568046E-2</c:v>
                </c:pt>
              </c:numCache>
            </c:numRef>
          </c:val>
        </c:ser>
        <c:ser>
          <c:idx val="5"/>
          <c:order val="5"/>
          <c:tx>
            <c:v>All schools</c:v>
          </c:tx>
          <c:val>
            <c:numRef>
              <c:f>'Specialist teaching GCSE'!$C$15:$F$15</c:f>
              <c:numCache>
                <c:formatCode>0.0%</c:formatCode>
                <c:ptCount val="4"/>
                <c:pt idx="0">
                  <c:v>0.81321184510250566</c:v>
                </c:pt>
                <c:pt idx="1">
                  <c:v>7.2892938496583223E-2</c:v>
                </c:pt>
                <c:pt idx="2">
                  <c:v>8.8838268792710812E-2</c:v>
                </c:pt>
                <c:pt idx="3">
                  <c:v>2.505694760820049E-2</c:v>
                </c:pt>
              </c:numCache>
            </c:numRef>
          </c:val>
        </c:ser>
        <c:axId val="128032128"/>
        <c:axId val="128050304"/>
      </c:barChart>
      <c:catAx>
        <c:axId val="128032128"/>
        <c:scaling>
          <c:orientation val="minMax"/>
        </c:scaling>
        <c:axPos val="b"/>
        <c:tickLblPos val="nextTo"/>
        <c:crossAx val="128050304"/>
        <c:crosses val="autoZero"/>
        <c:auto val="1"/>
        <c:lblAlgn val="ctr"/>
        <c:lblOffset val="100"/>
      </c:catAx>
      <c:valAx>
        <c:axId val="128050304"/>
        <c:scaling>
          <c:orientation val="minMax"/>
        </c:scaling>
        <c:axPos val="l"/>
        <c:majorGridlines/>
        <c:numFmt formatCode="0.0%" sourceLinked="1"/>
        <c:tickLblPos val="nextTo"/>
        <c:crossAx val="1280321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31ED-6628-457D-9DC9-E7BD3E0B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8960</Words>
  <Characters>51075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Raaa</cp:lastModifiedBy>
  <cp:revision>2</cp:revision>
  <cp:lastPrinted>2013-10-09T17:12:00Z</cp:lastPrinted>
  <dcterms:created xsi:type="dcterms:W3CDTF">2013-11-06T14:23:00Z</dcterms:created>
  <dcterms:modified xsi:type="dcterms:W3CDTF">2013-11-06T14:23:00Z</dcterms:modified>
</cp:coreProperties>
</file>