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4AEA" w14:textId="77777777" w:rsidR="00AF7213" w:rsidRPr="00165D1A" w:rsidRDefault="00683144" w:rsidP="00165D1A">
      <w:pPr>
        <w:spacing w:after="200"/>
        <w:jc w:val="center"/>
        <w:rPr>
          <w:rFonts w:ascii="Calibri" w:eastAsia="Calibri" w:hAnsi="Calibri" w:cs="Calibri"/>
          <w:b/>
          <w:sz w:val="32"/>
          <w:szCs w:val="32"/>
        </w:rPr>
      </w:pPr>
      <w:r w:rsidRPr="00165D1A">
        <w:rPr>
          <w:rFonts w:ascii="Calibri" w:eastAsia="Calibri" w:hAnsi="Calibri" w:cs="Calibri"/>
          <w:b/>
          <w:sz w:val="32"/>
          <w:szCs w:val="32"/>
        </w:rPr>
        <w:t>Rationale</w:t>
      </w:r>
    </w:p>
    <w:p w14:paraId="09AD4AEB" w14:textId="77777777" w:rsidR="00AF7213" w:rsidRDefault="00683144" w:rsidP="00165D1A">
      <w:pPr>
        <w:spacing w:after="200"/>
        <w:rPr>
          <w:rFonts w:ascii="Calibri" w:eastAsia="Calibri" w:hAnsi="Calibri" w:cs="Calibri"/>
        </w:rPr>
      </w:pPr>
      <w:r>
        <w:rPr>
          <w:rFonts w:ascii="Calibri" w:eastAsia="Calibri" w:hAnsi="Calibri" w:cs="Calibri"/>
        </w:rPr>
        <w:t xml:space="preserve">These resources were developed as a result of the 2019 Historical Association Teacher Fellowship on the transatlantic slave trade. Like many of the other teachers present, I realised that there were many elements missing from the way </w:t>
      </w:r>
      <w:r w:rsidR="008652F0">
        <w:rPr>
          <w:rFonts w:ascii="Calibri" w:eastAsia="Calibri" w:hAnsi="Calibri" w:cs="Calibri"/>
        </w:rPr>
        <w:t xml:space="preserve">in which </w:t>
      </w:r>
      <w:r>
        <w:rPr>
          <w:rFonts w:ascii="Calibri" w:eastAsia="Calibri" w:hAnsi="Calibri" w:cs="Calibri"/>
        </w:rPr>
        <w:t>I had been teaching the topic. After the intensive discussions with academics, course leaders and my fellow teachers, I realised</w:t>
      </w:r>
      <w:r w:rsidR="008652F0">
        <w:rPr>
          <w:rFonts w:ascii="Calibri" w:eastAsia="Calibri" w:hAnsi="Calibri" w:cs="Calibri"/>
        </w:rPr>
        <w:t xml:space="preserve"> that</w:t>
      </w:r>
      <w:r>
        <w:rPr>
          <w:rFonts w:ascii="Calibri" w:eastAsia="Calibri" w:hAnsi="Calibri" w:cs="Calibri"/>
        </w:rPr>
        <w:t xml:space="preserve"> the three main points I wanted my new enquiry to include were:</w:t>
      </w:r>
    </w:p>
    <w:p w14:paraId="09AD4AED" w14:textId="6E21AE25" w:rsidR="00AF7213" w:rsidRDefault="00683144" w:rsidP="00165D1A">
      <w:pPr>
        <w:numPr>
          <w:ilvl w:val="0"/>
          <w:numId w:val="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The link between the development of slavery in the Caribbean and racial thinking – described by </w:t>
      </w:r>
      <w:proofErr w:type="spellStart"/>
      <w:r>
        <w:rPr>
          <w:rFonts w:ascii="Calibri" w:eastAsia="Calibri" w:hAnsi="Calibri" w:cs="Calibri"/>
          <w:color w:val="000000"/>
        </w:rPr>
        <w:t>Saidiya</w:t>
      </w:r>
      <w:proofErr w:type="spellEnd"/>
      <w:r>
        <w:rPr>
          <w:rFonts w:ascii="Calibri" w:eastAsia="Calibri" w:hAnsi="Calibri" w:cs="Calibri"/>
          <w:color w:val="000000"/>
        </w:rPr>
        <w:t xml:space="preserve"> Hartman</w:t>
      </w:r>
      <w:r w:rsidR="00C16ADB">
        <w:rPr>
          <w:rFonts w:ascii="Calibri" w:eastAsia="Calibri" w:hAnsi="Calibri" w:cs="Calibri"/>
          <w:color w:val="000000"/>
        </w:rPr>
        <w:t xml:space="preserve"> (2007)</w:t>
      </w:r>
      <w:r>
        <w:rPr>
          <w:rFonts w:ascii="Calibri" w:eastAsia="Calibri" w:hAnsi="Calibri" w:cs="Calibri"/>
          <w:color w:val="000000"/>
        </w:rPr>
        <w:t xml:space="preserve"> as the ‘prison house of race’</w:t>
      </w:r>
      <w:r w:rsidR="00C16ADB">
        <w:rPr>
          <w:rFonts w:ascii="Calibri" w:eastAsia="Calibri" w:hAnsi="Calibri" w:cs="Calibri"/>
          <w:color w:val="000000"/>
        </w:rPr>
        <w:t xml:space="preserve"> (p. 48)</w:t>
      </w:r>
      <w:r>
        <w:rPr>
          <w:rFonts w:ascii="Calibri" w:eastAsia="Calibri" w:hAnsi="Calibri" w:cs="Calibri"/>
          <w:color w:val="000000"/>
        </w:rPr>
        <w:t xml:space="preserve">. I could see that students’ understanding of this would be crucial for them to understand any subsequent history, not to mention the modern British society in which they live. </w:t>
      </w:r>
    </w:p>
    <w:p w14:paraId="09AD4AEE" w14:textId="77777777" w:rsidR="00AF7213" w:rsidRDefault="00683144" w:rsidP="00165D1A">
      <w:pPr>
        <w:numPr>
          <w:ilvl w:val="0"/>
          <w:numId w:val="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The effects of the transatlantic trade on West Africa – Toby Green’s lecture during the residential, and his book </w:t>
      </w:r>
      <w:r>
        <w:rPr>
          <w:rFonts w:ascii="Calibri" w:eastAsia="Calibri" w:hAnsi="Calibri" w:cs="Calibri"/>
          <w:i/>
          <w:color w:val="000000"/>
        </w:rPr>
        <w:t>A Fistful of Shells</w:t>
      </w:r>
      <w:r>
        <w:rPr>
          <w:rFonts w:ascii="Calibri" w:eastAsia="Calibri" w:hAnsi="Calibri" w:cs="Calibri"/>
          <w:color w:val="000000"/>
        </w:rPr>
        <w:t>, illustrated the complexity of this.</w:t>
      </w:r>
    </w:p>
    <w:p w14:paraId="09AD4AEF" w14:textId="1D22A5C6" w:rsidR="00AF7213" w:rsidRDefault="00683144" w:rsidP="00165D1A">
      <w:pPr>
        <w:numPr>
          <w:ilvl w:val="0"/>
          <w:numId w:val="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 xml:space="preserve">The link between the transatlantic slave trade and British wealth and prosperity. Nick Draper and Katie </w:t>
      </w:r>
      <w:proofErr w:type="spellStart"/>
      <w:r>
        <w:rPr>
          <w:rFonts w:ascii="Calibri" w:eastAsia="Calibri" w:hAnsi="Calibri" w:cs="Calibri"/>
          <w:color w:val="000000"/>
        </w:rPr>
        <w:t>Donington’s</w:t>
      </w:r>
      <w:proofErr w:type="spellEnd"/>
      <w:r>
        <w:rPr>
          <w:rFonts w:ascii="Calibri" w:eastAsia="Calibri" w:hAnsi="Calibri" w:cs="Calibri"/>
          <w:color w:val="000000"/>
        </w:rPr>
        <w:t xml:space="preserve"> work with the Legacies of British Slave</w:t>
      </w:r>
      <w:r w:rsidR="008652F0">
        <w:rPr>
          <w:rFonts w:ascii="Calibri" w:eastAsia="Calibri" w:hAnsi="Calibri" w:cs="Calibri"/>
          <w:color w:val="000000"/>
        </w:rPr>
        <w:t>-</w:t>
      </w:r>
      <w:r>
        <w:rPr>
          <w:rFonts w:ascii="Calibri" w:eastAsia="Calibri" w:hAnsi="Calibri" w:cs="Calibri"/>
          <w:color w:val="000000"/>
        </w:rPr>
        <w:t>owners</w:t>
      </w:r>
      <w:r w:rsidR="008652F0">
        <w:rPr>
          <w:rFonts w:ascii="Calibri" w:eastAsia="Calibri" w:hAnsi="Calibri" w:cs="Calibri"/>
          <w:color w:val="000000"/>
        </w:rPr>
        <w:t>hip</w:t>
      </w:r>
      <w:r>
        <w:rPr>
          <w:rFonts w:ascii="Calibri" w:eastAsia="Calibri" w:hAnsi="Calibri" w:cs="Calibri"/>
          <w:color w:val="000000"/>
        </w:rPr>
        <w:t xml:space="preserve"> project formed a big part of the Fellowship and it was fascinating to trace the financial effects of the trade</w:t>
      </w:r>
      <w:r w:rsidR="00F37BEE">
        <w:rPr>
          <w:rFonts w:ascii="Calibri" w:eastAsia="Calibri" w:hAnsi="Calibri" w:cs="Calibri"/>
          <w:color w:val="000000"/>
        </w:rPr>
        <w:t xml:space="preserve"> on</w:t>
      </w:r>
      <w:r>
        <w:rPr>
          <w:rFonts w:ascii="Calibri" w:eastAsia="Calibri" w:hAnsi="Calibri" w:cs="Calibri"/>
          <w:color w:val="000000"/>
        </w:rPr>
        <w:t xml:space="preserve"> the heart of the British economy.</w:t>
      </w:r>
    </w:p>
    <w:p w14:paraId="09AD4AF1" w14:textId="52DF9F30" w:rsidR="00AF7213" w:rsidRDefault="00683144" w:rsidP="00165D1A">
      <w:pPr>
        <w:spacing w:after="200"/>
        <w:rPr>
          <w:rFonts w:ascii="Calibri" w:eastAsia="Calibri" w:hAnsi="Calibri" w:cs="Calibri"/>
        </w:rPr>
      </w:pPr>
      <w:r>
        <w:rPr>
          <w:rFonts w:ascii="Calibri" w:eastAsia="Calibri" w:hAnsi="Calibri" w:cs="Calibri"/>
        </w:rPr>
        <w:t>The immediately obvious problem was that these three points all referred to effects that, although linked, are related to events on different continents. Creating an enquiry that brought the three together in a coherent way would be difficult, but I wanted to try. In the recent Historical Association publication on teaching twentieth</w:t>
      </w:r>
      <w:r w:rsidR="00F37BEE">
        <w:rPr>
          <w:rFonts w:ascii="Calibri" w:eastAsia="Calibri" w:hAnsi="Calibri" w:cs="Calibri"/>
        </w:rPr>
        <w:t>-</w:t>
      </w:r>
      <w:r>
        <w:rPr>
          <w:rFonts w:ascii="Calibri" w:eastAsia="Calibri" w:hAnsi="Calibri" w:cs="Calibri"/>
        </w:rPr>
        <w:t>century history, when asked what he thought</w:t>
      </w:r>
      <w:r w:rsidR="00F37BEE">
        <w:rPr>
          <w:rFonts w:ascii="Calibri" w:eastAsia="Calibri" w:hAnsi="Calibri" w:cs="Calibri"/>
        </w:rPr>
        <w:t xml:space="preserve"> that</w:t>
      </w:r>
      <w:r>
        <w:rPr>
          <w:rFonts w:ascii="Calibri" w:eastAsia="Calibri" w:hAnsi="Calibri" w:cs="Calibri"/>
        </w:rPr>
        <w:t xml:space="preserve"> history teachers should be teaching, Orlando Figes answered that the connections between places and topics are crucial for understanding: ‘all these things are connected… I think it is more important to teach how and why they were connected, rather than separating these subjects into discrete packages</w:t>
      </w:r>
      <w:r w:rsidR="00F37BEE">
        <w:rPr>
          <w:rFonts w:ascii="Calibri" w:eastAsia="Calibri" w:hAnsi="Calibri" w:cs="Calibri"/>
        </w:rPr>
        <w:t>.</w:t>
      </w:r>
      <w:r>
        <w:rPr>
          <w:rFonts w:ascii="Calibri" w:eastAsia="Calibri" w:hAnsi="Calibri" w:cs="Calibri"/>
        </w:rPr>
        <w:t>’</w:t>
      </w:r>
      <w:r w:rsidR="00965B6B">
        <w:rPr>
          <w:rFonts w:ascii="Calibri" w:eastAsia="Calibri" w:hAnsi="Calibri" w:cs="Calibri"/>
        </w:rPr>
        <w:t xml:space="preserve"> (2019)</w:t>
      </w:r>
      <w:r w:rsidR="003C1A19">
        <w:rPr>
          <w:rFonts w:ascii="Calibri" w:eastAsia="Calibri" w:hAnsi="Calibri" w:cs="Calibri"/>
        </w:rPr>
        <w:t xml:space="preserve"> </w:t>
      </w:r>
      <w:r>
        <w:rPr>
          <w:rFonts w:ascii="Calibri" w:eastAsia="Calibri" w:hAnsi="Calibri" w:cs="Calibri"/>
        </w:rPr>
        <w:t xml:space="preserve">I wanted this enquiry to be about students understanding the links between the development of </w:t>
      </w:r>
      <w:proofErr w:type="spellStart"/>
      <w:r>
        <w:rPr>
          <w:rFonts w:ascii="Calibri" w:eastAsia="Calibri" w:hAnsi="Calibri" w:cs="Calibri"/>
        </w:rPr>
        <w:t>racialised</w:t>
      </w:r>
      <w:proofErr w:type="spellEnd"/>
      <w:r>
        <w:rPr>
          <w:rFonts w:ascii="Calibri" w:eastAsia="Calibri" w:hAnsi="Calibri" w:cs="Calibri"/>
        </w:rPr>
        <w:t xml:space="preserve"> societies in the Caribbean, the destabilisation of West Africa and the flourishing of Britain’s economy, as much as being about each of those things individually.</w:t>
      </w:r>
    </w:p>
    <w:p w14:paraId="09AD4AF3" w14:textId="622D26BA" w:rsidR="00AF7213" w:rsidRDefault="00683144" w:rsidP="00165D1A">
      <w:pPr>
        <w:spacing w:after="200"/>
        <w:rPr>
          <w:rFonts w:ascii="Calibri" w:eastAsia="Calibri" w:hAnsi="Calibri" w:cs="Calibri"/>
        </w:rPr>
      </w:pPr>
      <w:r>
        <w:rPr>
          <w:rFonts w:ascii="Calibri" w:eastAsia="Calibri" w:hAnsi="Calibri" w:cs="Calibri"/>
        </w:rPr>
        <w:t xml:space="preserve">The idea of towns as case studies developed </w:t>
      </w:r>
      <w:proofErr w:type="gramStart"/>
      <w:r>
        <w:rPr>
          <w:rFonts w:ascii="Calibri" w:eastAsia="Calibri" w:hAnsi="Calibri" w:cs="Calibri"/>
        </w:rPr>
        <w:t>first of all</w:t>
      </w:r>
      <w:proofErr w:type="gramEnd"/>
      <w:r>
        <w:rPr>
          <w:rFonts w:ascii="Calibri" w:eastAsia="Calibri" w:hAnsi="Calibri" w:cs="Calibri"/>
        </w:rPr>
        <w:t xml:space="preserve"> to make the scope of the enquiry feel more manageable – Bridgetown, </w:t>
      </w:r>
      <w:proofErr w:type="spellStart"/>
      <w:r>
        <w:rPr>
          <w:rFonts w:ascii="Calibri" w:eastAsia="Calibri" w:hAnsi="Calibri" w:cs="Calibri"/>
        </w:rPr>
        <w:t>Oguaa</w:t>
      </w:r>
      <w:proofErr w:type="spellEnd"/>
      <w:r>
        <w:rPr>
          <w:rFonts w:ascii="Calibri" w:eastAsia="Calibri" w:hAnsi="Calibri" w:cs="Calibri"/>
        </w:rPr>
        <w:t xml:space="preserve"> and Bath are all unique but tell a wider story. As I work at a school in Bath, this element was of course designed to give students an insight into their own community. Although Bath is known as a Georgian city, and most of its buildings date from the time </w:t>
      </w:r>
      <w:r w:rsidR="00F37BEE">
        <w:rPr>
          <w:rFonts w:ascii="Calibri" w:eastAsia="Calibri" w:hAnsi="Calibri" w:cs="Calibri"/>
        </w:rPr>
        <w:t xml:space="preserve">at which </w:t>
      </w:r>
      <w:r>
        <w:rPr>
          <w:rFonts w:ascii="Calibri" w:eastAsia="Calibri" w:hAnsi="Calibri" w:cs="Calibri"/>
        </w:rPr>
        <w:t>transatlantic slavery was at its peak, the topic is rarely mentioned at museums or heritage sites. I had experimented with using cities as case studies when teaching enquiries on twentieth</w:t>
      </w:r>
      <w:r w:rsidR="00F37BEE">
        <w:rPr>
          <w:rFonts w:ascii="Calibri" w:eastAsia="Calibri" w:hAnsi="Calibri" w:cs="Calibri"/>
        </w:rPr>
        <w:t>-</w:t>
      </w:r>
      <w:r>
        <w:rPr>
          <w:rFonts w:ascii="Calibri" w:eastAsia="Calibri" w:hAnsi="Calibri" w:cs="Calibri"/>
        </w:rPr>
        <w:t>century history to Year 9, who had looked at Chicago and Magnitogorsk to understand the USA in the 1920s and the USSR in the 1930s. In both cases this seemed to have the effect of making a huge subject manageable and also giving students a crucial sense of place as they got to know an area in more detail.</w:t>
      </w:r>
    </w:p>
    <w:p w14:paraId="09AD4AF6" w14:textId="7C942E76" w:rsidR="00AF7213" w:rsidRDefault="00683144" w:rsidP="00165D1A">
      <w:pPr>
        <w:spacing w:after="200"/>
        <w:rPr>
          <w:rFonts w:ascii="Calibri" w:eastAsia="Calibri" w:hAnsi="Calibri" w:cs="Calibri"/>
        </w:rPr>
      </w:pPr>
      <w:r>
        <w:rPr>
          <w:rFonts w:ascii="Calibri" w:eastAsia="Calibri" w:hAnsi="Calibri" w:cs="Calibri"/>
        </w:rPr>
        <w:t>The lesson on Bath could easily be adapted to reflect developments in another British town. I made use of the Legacies of British Slave</w:t>
      </w:r>
      <w:r w:rsidR="0095134E">
        <w:rPr>
          <w:rFonts w:ascii="Calibri" w:eastAsia="Calibri" w:hAnsi="Calibri" w:cs="Calibri"/>
        </w:rPr>
        <w:t>-o</w:t>
      </w:r>
      <w:r>
        <w:rPr>
          <w:rFonts w:ascii="Calibri" w:eastAsia="Calibri" w:hAnsi="Calibri" w:cs="Calibri"/>
        </w:rPr>
        <w:t>wnership website (</w:t>
      </w:r>
      <w:hyperlink r:id="rId8" w:history="1">
        <w:r w:rsidR="0095134E" w:rsidRPr="00D65BCE">
          <w:rPr>
            <w:rStyle w:val="Hyperlink"/>
            <w:rFonts w:ascii="Calibri" w:eastAsia="Calibri" w:hAnsi="Calibri" w:cs="Calibri"/>
          </w:rPr>
          <w:t>www.ucl.ac.uk/lbs</w:t>
        </w:r>
      </w:hyperlink>
      <w:r>
        <w:rPr>
          <w:rFonts w:ascii="Calibri" w:eastAsia="Calibri" w:hAnsi="Calibri" w:cs="Calibri"/>
        </w:rPr>
        <w:t>)</w:t>
      </w:r>
      <w:r w:rsidR="0095134E">
        <w:rPr>
          <w:rFonts w:ascii="Calibri" w:eastAsia="Calibri" w:hAnsi="Calibri" w:cs="Calibri"/>
        </w:rPr>
        <w:t>,</w:t>
      </w:r>
      <w:r>
        <w:rPr>
          <w:rFonts w:ascii="Calibri" w:eastAsia="Calibri" w:hAnsi="Calibri" w:cs="Calibri"/>
        </w:rPr>
        <w:t xml:space="preserve"> as well as the Runaway Slaves in Britain website (</w:t>
      </w:r>
      <w:hyperlink r:id="rId9" w:history="1">
        <w:r w:rsidR="0095134E" w:rsidRPr="00D65BCE">
          <w:rPr>
            <w:rStyle w:val="Hyperlink"/>
            <w:rFonts w:ascii="Calibri" w:eastAsia="Calibri" w:hAnsi="Calibri" w:cs="Calibri"/>
          </w:rPr>
          <w:t>www.runaways.gla.ac.uk</w:t>
        </w:r>
      </w:hyperlink>
      <w:r>
        <w:rPr>
          <w:rFonts w:ascii="Calibri" w:eastAsia="Calibri" w:hAnsi="Calibri" w:cs="Calibri"/>
        </w:rPr>
        <w:t xml:space="preserve">). There is a document called ‘Adapting the enquiry </w:t>
      </w:r>
      <w:r w:rsidR="0095134E">
        <w:rPr>
          <w:rFonts w:ascii="Calibri" w:eastAsia="Calibri" w:hAnsi="Calibri" w:cs="Calibri"/>
        </w:rPr>
        <w:t xml:space="preserve">to include </w:t>
      </w:r>
      <w:r>
        <w:rPr>
          <w:rFonts w:ascii="Calibri" w:eastAsia="Calibri" w:hAnsi="Calibri" w:cs="Calibri"/>
        </w:rPr>
        <w:t>another British town’ within the folder to give some suggestions on this.</w:t>
      </w:r>
    </w:p>
    <w:p w14:paraId="09AD4AF7" w14:textId="77777777" w:rsidR="00AF7213" w:rsidRDefault="00683144" w:rsidP="00165D1A">
      <w:pPr>
        <w:spacing w:after="200"/>
        <w:rPr>
          <w:rFonts w:ascii="Calibri" w:eastAsia="Calibri" w:hAnsi="Calibri" w:cs="Calibri"/>
        </w:rPr>
      </w:pPr>
      <w:r>
        <w:rPr>
          <w:rFonts w:ascii="Calibri" w:eastAsia="Calibri" w:hAnsi="Calibri" w:cs="Calibri"/>
        </w:rPr>
        <w:lastRenderedPageBreak/>
        <w:t>The final task, with its ‘split screen’ shape, is designed to get students thinking about the concurrent events in each location and then to write about how they were linked together.</w:t>
      </w:r>
    </w:p>
    <w:p w14:paraId="09AD4AF9" w14:textId="169C2A1F" w:rsidR="00AF7213" w:rsidRDefault="00683144" w:rsidP="00165D1A">
      <w:pPr>
        <w:spacing w:after="200"/>
        <w:rPr>
          <w:rFonts w:ascii="Calibri" w:eastAsia="Calibri" w:hAnsi="Calibri" w:cs="Calibri"/>
        </w:rPr>
      </w:pPr>
      <w:r>
        <w:rPr>
          <w:rFonts w:ascii="Calibri" w:eastAsia="Calibri" w:hAnsi="Calibri" w:cs="Calibri"/>
        </w:rPr>
        <w:t>In terms of the principles drawn up by the course leaders of the Fellowship, this enquiry is designed to address the first four in detail: race</w:t>
      </w:r>
      <w:r w:rsidR="0095134E">
        <w:rPr>
          <w:rFonts w:ascii="Calibri" w:eastAsia="Calibri" w:hAnsi="Calibri" w:cs="Calibri"/>
        </w:rPr>
        <w:t xml:space="preserve">, </w:t>
      </w:r>
      <w:r>
        <w:rPr>
          <w:rFonts w:ascii="Calibri" w:eastAsia="Calibri" w:hAnsi="Calibri" w:cs="Calibri"/>
        </w:rPr>
        <w:t>Africa and Africans</w:t>
      </w:r>
      <w:r w:rsidR="0095134E">
        <w:rPr>
          <w:rFonts w:ascii="Calibri" w:eastAsia="Calibri" w:hAnsi="Calibri" w:cs="Calibri"/>
        </w:rPr>
        <w:t xml:space="preserve">, </w:t>
      </w:r>
      <w:r>
        <w:rPr>
          <w:rFonts w:ascii="Calibri" w:eastAsia="Calibri" w:hAnsi="Calibri" w:cs="Calibri"/>
        </w:rPr>
        <w:t>mass commercialisation</w:t>
      </w:r>
      <w:r w:rsidR="0095134E">
        <w:rPr>
          <w:rFonts w:ascii="Calibri" w:eastAsia="Calibri" w:hAnsi="Calibri" w:cs="Calibri"/>
        </w:rPr>
        <w:t>,</w:t>
      </w:r>
      <w:r>
        <w:rPr>
          <w:rFonts w:ascii="Calibri" w:eastAsia="Calibri" w:hAnsi="Calibri" w:cs="Calibri"/>
        </w:rPr>
        <w:t xml:space="preserve"> and violence. Resistance, </w:t>
      </w:r>
      <w:proofErr w:type="gramStart"/>
      <w:r>
        <w:rPr>
          <w:rFonts w:ascii="Calibri" w:eastAsia="Calibri" w:hAnsi="Calibri" w:cs="Calibri"/>
        </w:rPr>
        <w:t>abolition</w:t>
      </w:r>
      <w:proofErr w:type="gramEnd"/>
      <w:r>
        <w:rPr>
          <w:rFonts w:ascii="Calibri" w:eastAsia="Calibri" w:hAnsi="Calibri" w:cs="Calibri"/>
        </w:rPr>
        <w:t xml:space="preserve"> and legacies are mentioned, but obliquely; the enquiry would be well served by being followed by another enquiry </w:t>
      </w:r>
      <w:r w:rsidR="00C16ADB">
        <w:rPr>
          <w:rFonts w:ascii="Calibri" w:eastAsia="Calibri" w:hAnsi="Calibri" w:cs="Calibri"/>
        </w:rPr>
        <w:t xml:space="preserve">that </w:t>
      </w:r>
      <w:r>
        <w:rPr>
          <w:rFonts w:ascii="Calibri" w:eastAsia="Calibri" w:hAnsi="Calibri" w:cs="Calibri"/>
        </w:rPr>
        <w:t xml:space="preserve">addresses these three issues in more depth. There is quite a lot of scholarship built into the enquiry, and the historiography has been chosen carefully to include as many historians of African and Caribbean descent as possible, and to make them a visible and vocal part of the work </w:t>
      </w:r>
      <w:r w:rsidR="00C16ADB">
        <w:rPr>
          <w:rFonts w:ascii="Calibri" w:eastAsia="Calibri" w:hAnsi="Calibri" w:cs="Calibri"/>
        </w:rPr>
        <w:t xml:space="preserve">that </w:t>
      </w:r>
      <w:r>
        <w:rPr>
          <w:rFonts w:ascii="Calibri" w:eastAsia="Calibri" w:hAnsi="Calibri" w:cs="Calibri"/>
        </w:rPr>
        <w:t xml:space="preserve">the students complete. </w:t>
      </w:r>
    </w:p>
    <w:p w14:paraId="09AD4AFB" w14:textId="58350190" w:rsidR="00AF7213" w:rsidRDefault="00C16ADB" w:rsidP="00165D1A">
      <w:pPr>
        <w:spacing w:after="200"/>
        <w:rPr>
          <w:rFonts w:ascii="Calibri" w:eastAsia="Calibri" w:hAnsi="Calibri" w:cs="Calibri"/>
          <w:b/>
        </w:rPr>
      </w:pPr>
      <w:r>
        <w:rPr>
          <w:rFonts w:ascii="Calibri" w:eastAsia="Calibri" w:hAnsi="Calibri" w:cs="Calibri"/>
          <w:b/>
        </w:rPr>
        <w:t>References and f</w:t>
      </w:r>
      <w:r w:rsidR="00683144">
        <w:rPr>
          <w:rFonts w:ascii="Calibri" w:eastAsia="Calibri" w:hAnsi="Calibri" w:cs="Calibri"/>
          <w:b/>
        </w:rPr>
        <w:t>urther reading</w:t>
      </w:r>
    </w:p>
    <w:p w14:paraId="09AD4AFC" w14:textId="3831A716" w:rsidR="00AF7213" w:rsidRDefault="00683144" w:rsidP="00165D1A">
      <w:pPr>
        <w:spacing w:after="200"/>
        <w:rPr>
          <w:rFonts w:ascii="Calibri" w:eastAsia="Calibri" w:hAnsi="Calibri" w:cs="Calibri"/>
        </w:rPr>
      </w:pPr>
      <w:r>
        <w:rPr>
          <w:rFonts w:ascii="Calibri" w:eastAsia="Calibri" w:hAnsi="Calibri" w:cs="Calibri"/>
        </w:rPr>
        <w:t>Beckles,</w:t>
      </w:r>
      <w:r w:rsidR="003C1A19">
        <w:rPr>
          <w:rFonts w:ascii="Calibri" w:eastAsia="Calibri" w:hAnsi="Calibri" w:cs="Calibri"/>
        </w:rPr>
        <w:t xml:space="preserve"> H. (1989)</w:t>
      </w:r>
      <w:r>
        <w:rPr>
          <w:rFonts w:ascii="Calibri" w:eastAsia="Calibri" w:hAnsi="Calibri" w:cs="Calibri"/>
        </w:rPr>
        <w:t xml:space="preserve"> </w:t>
      </w:r>
      <w:r>
        <w:rPr>
          <w:rFonts w:ascii="Calibri" w:eastAsia="Calibri" w:hAnsi="Calibri" w:cs="Calibri"/>
          <w:i/>
        </w:rPr>
        <w:t>Natural Rebels: A Social History of Enslaved Black Women in Barbados</w:t>
      </w:r>
      <w:r w:rsidR="00D470DF">
        <w:rPr>
          <w:rFonts w:ascii="Calibri" w:eastAsia="Calibri" w:hAnsi="Calibri" w:cs="Calibri"/>
        </w:rPr>
        <w:t xml:space="preserve">, </w:t>
      </w:r>
      <w:r w:rsidR="00727DCA" w:rsidRPr="00727DCA">
        <w:rPr>
          <w:rFonts w:ascii="Calibri" w:eastAsia="Calibri" w:hAnsi="Calibri" w:cs="Calibri"/>
        </w:rPr>
        <w:t xml:space="preserve">New Brunswick, NJ: </w:t>
      </w:r>
      <w:r w:rsidR="00D470DF">
        <w:rPr>
          <w:rFonts w:ascii="Calibri" w:eastAsia="Calibri" w:hAnsi="Calibri" w:cs="Calibri"/>
        </w:rPr>
        <w:t>Rutgers University Press.</w:t>
      </w:r>
      <w:r>
        <w:rPr>
          <w:rFonts w:ascii="Calibri" w:eastAsia="Calibri" w:hAnsi="Calibri" w:cs="Calibri"/>
        </w:rPr>
        <w:t xml:space="preserve"> </w:t>
      </w:r>
    </w:p>
    <w:p w14:paraId="09AD4AFD" w14:textId="27EB6DD9" w:rsidR="00D470DF" w:rsidRDefault="00683144" w:rsidP="00165D1A">
      <w:pPr>
        <w:spacing w:after="200"/>
        <w:rPr>
          <w:rFonts w:ascii="Calibri" w:eastAsia="Calibri" w:hAnsi="Calibri" w:cs="Calibri"/>
        </w:rPr>
      </w:pPr>
      <w:r>
        <w:rPr>
          <w:rFonts w:ascii="Calibri" w:eastAsia="Calibri" w:hAnsi="Calibri" w:cs="Calibri"/>
        </w:rPr>
        <w:t>Fawcett,</w:t>
      </w:r>
      <w:r w:rsidR="003C1A19">
        <w:rPr>
          <w:rFonts w:ascii="Calibri" w:eastAsia="Calibri" w:hAnsi="Calibri" w:cs="Calibri"/>
        </w:rPr>
        <w:t xml:space="preserve"> T. (1993)</w:t>
      </w:r>
      <w:r>
        <w:rPr>
          <w:rFonts w:ascii="Calibri" w:eastAsia="Calibri" w:hAnsi="Calibri" w:cs="Calibri"/>
        </w:rPr>
        <w:t xml:space="preserve"> ‘Black </w:t>
      </w:r>
      <w:r w:rsidR="00A871A3">
        <w:rPr>
          <w:rFonts w:ascii="Calibri" w:eastAsia="Calibri" w:hAnsi="Calibri" w:cs="Calibri"/>
        </w:rPr>
        <w:t xml:space="preserve">people </w:t>
      </w:r>
      <w:r>
        <w:rPr>
          <w:rFonts w:ascii="Calibri" w:eastAsia="Calibri" w:hAnsi="Calibri" w:cs="Calibri"/>
        </w:rPr>
        <w:t>in Georgian Bath’</w:t>
      </w:r>
      <w:r w:rsidR="00A871A3">
        <w:rPr>
          <w:rFonts w:ascii="Calibri" w:eastAsia="Calibri" w:hAnsi="Calibri" w:cs="Calibri"/>
        </w:rPr>
        <w:t xml:space="preserve"> in</w:t>
      </w:r>
      <w:r>
        <w:rPr>
          <w:rFonts w:ascii="Calibri" w:eastAsia="Calibri" w:hAnsi="Calibri" w:cs="Calibri"/>
        </w:rPr>
        <w:t xml:space="preserve"> </w:t>
      </w:r>
      <w:r>
        <w:rPr>
          <w:rFonts w:ascii="Calibri" w:eastAsia="Calibri" w:hAnsi="Calibri" w:cs="Calibri"/>
          <w:i/>
        </w:rPr>
        <w:t>Avon Past</w:t>
      </w:r>
      <w:r w:rsidR="00A871A3">
        <w:rPr>
          <w:rFonts w:ascii="Calibri" w:eastAsia="Calibri" w:hAnsi="Calibri" w:cs="Calibri"/>
        </w:rPr>
        <w:t xml:space="preserve">, </w:t>
      </w:r>
      <w:r w:rsidR="00A871A3">
        <w:rPr>
          <w:rFonts w:ascii="Calibri" w:eastAsia="Calibri" w:hAnsi="Calibri" w:cs="Calibri"/>
          <w:i/>
        </w:rPr>
        <w:t>16</w:t>
      </w:r>
      <w:r w:rsidR="00A871A3">
        <w:rPr>
          <w:rFonts w:ascii="Calibri" w:eastAsia="Calibri" w:hAnsi="Calibri" w:cs="Calibri"/>
        </w:rPr>
        <w:t>, pp. 3–9.</w:t>
      </w:r>
    </w:p>
    <w:p w14:paraId="09AD4AFE" w14:textId="77777777" w:rsidR="00D470DF" w:rsidRDefault="00D470DF" w:rsidP="00D470DF">
      <w:pPr>
        <w:spacing w:after="200"/>
        <w:rPr>
          <w:rFonts w:ascii="Calibri" w:eastAsia="Calibri" w:hAnsi="Calibri" w:cs="Calibri"/>
        </w:rPr>
      </w:pPr>
      <w:r>
        <w:rPr>
          <w:rFonts w:ascii="Calibri" w:eastAsia="Calibri" w:hAnsi="Calibri" w:cs="Calibri"/>
        </w:rPr>
        <w:t xml:space="preserve">Gadd, D. (1977) </w:t>
      </w:r>
      <w:r>
        <w:rPr>
          <w:rFonts w:ascii="Calibri" w:eastAsia="Calibri" w:hAnsi="Calibri" w:cs="Calibri"/>
          <w:i/>
        </w:rPr>
        <w:t>Georgian Summer: Bath in the eighteenth century</w:t>
      </w:r>
      <w:r w:rsidR="00727DCA">
        <w:rPr>
          <w:rFonts w:ascii="Calibri" w:eastAsia="Calibri" w:hAnsi="Calibri" w:cs="Calibri"/>
        </w:rPr>
        <w:t>, imprint unknown.</w:t>
      </w:r>
      <w:r>
        <w:rPr>
          <w:rFonts w:ascii="Calibri" w:eastAsia="Calibri" w:hAnsi="Calibri" w:cs="Calibri"/>
        </w:rPr>
        <w:t xml:space="preserve"> </w:t>
      </w:r>
    </w:p>
    <w:p w14:paraId="09AD4AFF" w14:textId="77777777" w:rsidR="00D470DF" w:rsidRPr="00165D1A" w:rsidRDefault="00D470DF" w:rsidP="00D470DF">
      <w:pPr>
        <w:spacing w:after="200"/>
        <w:rPr>
          <w:rFonts w:ascii="Calibri" w:eastAsia="Calibri" w:hAnsi="Calibri" w:cs="Calibri"/>
        </w:rPr>
      </w:pPr>
      <w:r>
        <w:rPr>
          <w:rFonts w:ascii="Calibri" w:eastAsia="Calibri" w:hAnsi="Calibri" w:cs="Calibri"/>
        </w:rPr>
        <w:t xml:space="preserve">Green, T. (2019) </w:t>
      </w:r>
      <w:r>
        <w:rPr>
          <w:rFonts w:ascii="Calibri" w:eastAsia="Calibri" w:hAnsi="Calibri" w:cs="Calibri"/>
          <w:i/>
        </w:rPr>
        <w:t>A Fistful of Shells:</w:t>
      </w:r>
      <w:r w:rsidRPr="00AB661F">
        <w:t xml:space="preserve"> </w:t>
      </w:r>
      <w:r w:rsidRPr="00AB661F">
        <w:rPr>
          <w:rFonts w:ascii="Calibri" w:eastAsia="Calibri" w:hAnsi="Calibri" w:cs="Calibri"/>
          <w:i/>
        </w:rPr>
        <w:t>West Africa from the rise of the slave trade to the age of revolution</w:t>
      </w:r>
      <w:r>
        <w:rPr>
          <w:rFonts w:ascii="Calibri" w:eastAsia="Calibri" w:hAnsi="Calibri" w:cs="Calibri"/>
        </w:rPr>
        <w:t>, Penguin.</w:t>
      </w:r>
    </w:p>
    <w:p w14:paraId="09AD4B00" w14:textId="77777777" w:rsidR="00D470DF" w:rsidRDefault="00D470DF" w:rsidP="00D470DF">
      <w:pPr>
        <w:spacing w:after="200"/>
        <w:rPr>
          <w:rFonts w:ascii="Calibri" w:eastAsia="Calibri" w:hAnsi="Calibri" w:cs="Calibri"/>
        </w:rPr>
      </w:pPr>
      <w:r>
        <w:rPr>
          <w:rFonts w:ascii="Calibri" w:eastAsia="Calibri" w:hAnsi="Calibri" w:cs="Calibri"/>
        </w:rPr>
        <w:t xml:space="preserve">Hartman, S. (2007) </w:t>
      </w:r>
      <w:r>
        <w:rPr>
          <w:rFonts w:ascii="Calibri" w:eastAsia="Calibri" w:hAnsi="Calibri" w:cs="Calibri"/>
          <w:i/>
        </w:rPr>
        <w:t>Lose Your Mother: a journey along the Atlantic slave route</w:t>
      </w:r>
      <w:r w:rsidR="00727DCA">
        <w:rPr>
          <w:rFonts w:ascii="Calibri" w:eastAsia="Calibri" w:hAnsi="Calibri" w:cs="Calibri"/>
        </w:rPr>
        <w:t>, New York:</w:t>
      </w:r>
      <w:r>
        <w:rPr>
          <w:rFonts w:ascii="Calibri" w:eastAsia="Calibri" w:hAnsi="Calibri" w:cs="Calibri"/>
        </w:rPr>
        <w:t xml:space="preserve"> </w:t>
      </w:r>
      <w:r w:rsidR="00727DCA" w:rsidRPr="00727DCA">
        <w:rPr>
          <w:rFonts w:ascii="Calibri" w:eastAsia="Calibri" w:hAnsi="Calibri" w:cs="Calibri"/>
        </w:rPr>
        <w:t>Farrar Straus Giroux</w:t>
      </w:r>
      <w:r w:rsidR="00727DCA">
        <w:rPr>
          <w:rFonts w:ascii="Calibri" w:eastAsia="Calibri" w:hAnsi="Calibri" w:cs="Calibri"/>
        </w:rPr>
        <w:t>.</w:t>
      </w:r>
    </w:p>
    <w:p w14:paraId="09AD4B02" w14:textId="3C61B92F" w:rsidR="00D470DF" w:rsidRDefault="00AB661F" w:rsidP="00165D1A">
      <w:pPr>
        <w:spacing w:after="200"/>
        <w:rPr>
          <w:rFonts w:ascii="Calibri" w:eastAsia="Calibri" w:hAnsi="Calibri" w:cs="Calibri"/>
        </w:rPr>
      </w:pPr>
      <w:r>
        <w:rPr>
          <w:rFonts w:ascii="Calibri" w:eastAsia="Calibri" w:hAnsi="Calibri" w:cs="Calibri"/>
        </w:rPr>
        <w:t>Historical Association (2019)</w:t>
      </w:r>
      <w:r w:rsidR="003C1A19" w:rsidRPr="003C1A19">
        <w:rPr>
          <w:rFonts w:ascii="Calibri" w:eastAsia="Calibri" w:hAnsi="Calibri" w:cs="Calibri"/>
        </w:rPr>
        <w:t xml:space="preserve"> </w:t>
      </w:r>
      <w:r w:rsidR="00D470DF">
        <w:rPr>
          <w:rFonts w:ascii="Calibri" w:eastAsia="Calibri" w:hAnsi="Calibri" w:cs="Calibri"/>
        </w:rPr>
        <w:t>‘</w:t>
      </w:r>
      <w:r w:rsidR="003C1A19" w:rsidRPr="003C1A19">
        <w:rPr>
          <w:rFonts w:ascii="Calibri" w:eastAsia="Calibri" w:hAnsi="Calibri" w:cs="Calibri"/>
        </w:rPr>
        <w:t xml:space="preserve">Exploring and </w:t>
      </w:r>
      <w:r w:rsidR="00D470DF">
        <w:rPr>
          <w:rFonts w:ascii="Calibri" w:eastAsia="Calibri" w:hAnsi="Calibri" w:cs="Calibri"/>
        </w:rPr>
        <w:t>t</w:t>
      </w:r>
      <w:r w:rsidR="003C1A19" w:rsidRPr="003C1A19">
        <w:rPr>
          <w:rFonts w:ascii="Calibri" w:eastAsia="Calibri" w:hAnsi="Calibri" w:cs="Calibri"/>
        </w:rPr>
        <w:t xml:space="preserve">eaching </w:t>
      </w:r>
      <w:r w:rsidR="00D470DF">
        <w:rPr>
          <w:rFonts w:ascii="Calibri" w:eastAsia="Calibri" w:hAnsi="Calibri" w:cs="Calibri"/>
        </w:rPr>
        <w:t>t</w:t>
      </w:r>
      <w:r w:rsidR="003C1A19" w:rsidRPr="003C1A19">
        <w:rPr>
          <w:rFonts w:ascii="Calibri" w:eastAsia="Calibri" w:hAnsi="Calibri" w:cs="Calibri"/>
        </w:rPr>
        <w:t>wentieth</w:t>
      </w:r>
      <w:r w:rsidR="00D470DF">
        <w:rPr>
          <w:rFonts w:ascii="Calibri" w:eastAsia="Calibri" w:hAnsi="Calibri" w:cs="Calibri"/>
        </w:rPr>
        <w:t>-century h</w:t>
      </w:r>
      <w:r w:rsidR="003C1A19" w:rsidRPr="003C1A19">
        <w:rPr>
          <w:rFonts w:ascii="Calibri" w:eastAsia="Calibri" w:hAnsi="Calibri" w:cs="Calibri"/>
        </w:rPr>
        <w:t>istory</w:t>
      </w:r>
      <w:r w:rsidR="00D470DF">
        <w:rPr>
          <w:rFonts w:ascii="Calibri" w:eastAsia="Calibri" w:hAnsi="Calibri" w:cs="Calibri"/>
        </w:rPr>
        <w:t>’</w:t>
      </w:r>
      <w:r w:rsidR="003C1A19" w:rsidRPr="003C1A19">
        <w:rPr>
          <w:rFonts w:ascii="Calibri" w:eastAsia="Calibri" w:hAnsi="Calibri" w:cs="Calibri"/>
        </w:rPr>
        <w:t xml:space="preserve">, </w:t>
      </w:r>
      <w:hyperlink r:id="rId10" w:history="1">
        <w:r w:rsidR="00D470DF" w:rsidRPr="00D65BCE">
          <w:rPr>
            <w:rStyle w:val="Hyperlink"/>
            <w:rFonts w:ascii="Calibri" w:eastAsia="Calibri" w:hAnsi="Calibri" w:cs="Calibri"/>
          </w:rPr>
          <w:t>www.history.org.uk/secondary/resource/9713/exploring-and-teaching-twentieth-century-history</w:t>
        </w:r>
      </w:hyperlink>
    </w:p>
    <w:p w14:paraId="09AD4B05" w14:textId="7199F145" w:rsidR="00AF7213" w:rsidRDefault="00683144" w:rsidP="00165D1A">
      <w:pPr>
        <w:spacing w:after="200"/>
        <w:rPr>
          <w:rFonts w:ascii="Calibri" w:eastAsia="Calibri" w:hAnsi="Calibri" w:cs="Calibri"/>
        </w:rPr>
      </w:pPr>
      <w:r>
        <w:rPr>
          <w:rFonts w:ascii="Calibri" w:eastAsia="Calibri" w:hAnsi="Calibri" w:cs="Calibri"/>
        </w:rPr>
        <w:t>Parker,</w:t>
      </w:r>
      <w:r w:rsidR="00A871A3">
        <w:rPr>
          <w:rFonts w:ascii="Calibri" w:eastAsia="Calibri" w:hAnsi="Calibri" w:cs="Calibri"/>
        </w:rPr>
        <w:t xml:space="preserve"> M. (2012)</w:t>
      </w:r>
      <w:r>
        <w:rPr>
          <w:rFonts w:ascii="Calibri" w:eastAsia="Calibri" w:hAnsi="Calibri" w:cs="Calibri"/>
        </w:rPr>
        <w:t xml:space="preserve"> </w:t>
      </w:r>
      <w:r>
        <w:rPr>
          <w:rFonts w:ascii="Calibri" w:eastAsia="Calibri" w:hAnsi="Calibri" w:cs="Calibri"/>
          <w:i/>
        </w:rPr>
        <w:t xml:space="preserve">The Sugar Barons: </w:t>
      </w:r>
      <w:r w:rsidR="00A871A3">
        <w:rPr>
          <w:rFonts w:ascii="Calibri" w:eastAsia="Calibri" w:hAnsi="Calibri" w:cs="Calibri"/>
          <w:i/>
        </w:rPr>
        <w:t>family, corruption, empire and w</w:t>
      </w:r>
      <w:r>
        <w:rPr>
          <w:rFonts w:ascii="Calibri" w:eastAsia="Calibri" w:hAnsi="Calibri" w:cs="Calibri"/>
          <w:i/>
        </w:rPr>
        <w:t>ar</w:t>
      </w:r>
      <w:r w:rsidR="00727DCA">
        <w:rPr>
          <w:rFonts w:ascii="Calibri" w:eastAsia="Calibri" w:hAnsi="Calibri" w:cs="Calibri"/>
        </w:rPr>
        <w:t>, London: Windmill Books.</w:t>
      </w:r>
      <w:r>
        <w:rPr>
          <w:rFonts w:ascii="Calibri" w:eastAsia="Calibri" w:hAnsi="Calibri" w:cs="Calibri"/>
        </w:rPr>
        <w:t xml:space="preserve"> </w:t>
      </w:r>
    </w:p>
    <w:p w14:paraId="09AD4B06" w14:textId="1C9D7504" w:rsidR="00AF7213" w:rsidRDefault="00683144" w:rsidP="00165D1A">
      <w:pPr>
        <w:spacing w:after="200"/>
        <w:rPr>
          <w:rFonts w:ascii="Calibri" w:eastAsia="Calibri" w:hAnsi="Calibri" w:cs="Calibri"/>
        </w:rPr>
      </w:pPr>
      <w:r>
        <w:rPr>
          <w:rFonts w:ascii="Calibri" w:eastAsia="Calibri" w:hAnsi="Calibri" w:cs="Calibri"/>
        </w:rPr>
        <w:t>Welch,</w:t>
      </w:r>
      <w:r w:rsidR="00A871A3">
        <w:rPr>
          <w:rFonts w:ascii="Calibri" w:eastAsia="Calibri" w:hAnsi="Calibri" w:cs="Calibri"/>
        </w:rPr>
        <w:t xml:space="preserve"> P. (2004)</w:t>
      </w:r>
      <w:r>
        <w:rPr>
          <w:rFonts w:ascii="Calibri" w:eastAsia="Calibri" w:hAnsi="Calibri" w:cs="Calibri"/>
        </w:rPr>
        <w:t xml:space="preserve"> </w:t>
      </w:r>
      <w:r>
        <w:rPr>
          <w:rFonts w:ascii="Calibri" w:eastAsia="Calibri" w:hAnsi="Calibri" w:cs="Calibri"/>
          <w:i/>
        </w:rPr>
        <w:t>Slave Society in the City: Bridgetown 1680</w:t>
      </w:r>
      <w:r w:rsidR="00A871A3">
        <w:rPr>
          <w:rFonts w:ascii="Calibri" w:eastAsia="Calibri" w:hAnsi="Calibri" w:cs="Calibri"/>
          <w:i/>
        </w:rPr>
        <w:t>–</w:t>
      </w:r>
      <w:r>
        <w:rPr>
          <w:rFonts w:ascii="Calibri" w:eastAsia="Calibri" w:hAnsi="Calibri" w:cs="Calibri"/>
          <w:i/>
        </w:rPr>
        <w:t>1834</w:t>
      </w:r>
      <w:r w:rsidR="00727DCA">
        <w:rPr>
          <w:rFonts w:ascii="Calibri" w:eastAsia="Calibri" w:hAnsi="Calibri" w:cs="Calibri"/>
        </w:rPr>
        <w:t>, Kingston: Ian Randle.</w:t>
      </w:r>
      <w:r>
        <w:rPr>
          <w:rFonts w:ascii="Calibri" w:eastAsia="Calibri" w:hAnsi="Calibri" w:cs="Calibri"/>
        </w:rPr>
        <w:t xml:space="preserve"> </w:t>
      </w:r>
    </w:p>
    <w:p w14:paraId="09AD4B07" w14:textId="77777777" w:rsidR="00AF7213" w:rsidRDefault="00AF7213" w:rsidP="00165D1A">
      <w:pPr>
        <w:spacing w:after="200"/>
        <w:rPr>
          <w:rFonts w:ascii="Calibri" w:eastAsia="Calibri" w:hAnsi="Calibri" w:cs="Calibri"/>
        </w:rPr>
      </w:pPr>
    </w:p>
    <w:p w14:paraId="09AD4B08" w14:textId="77777777" w:rsidR="00AF7213" w:rsidRDefault="00AF7213" w:rsidP="00165D1A">
      <w:pPr>
        <w:spacing w:after="200"/>
        <w:rPr>
          <w:rFonts w:ascii="Calibri" w:eastAsia="Calibri" w:hAnsi="Calibri" w:cs="Calibri"/>
        </w:rPr>
      </w:pPr>
    </w:p>
    <w:p w14:paraId="09AD4B09" w14:textId="77777777" w:rsidR="00AF7213" w:rsidRDefault="00AF7213" w:rsidP="00165D1A">
      <w:pPr>
        <w:spacing w:after="200"/>
      </w:pPr>
    </w:p>
    <w:sectPr w:rsidR="00AF7213" w:rsidSect="00165D1A">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4B0E" w14:textId="77777777" w:rsidR="00683144" w:rsidRDefault="00683144">
      <w:r>
        <w:separator/>
      </w:r>
    </w:p>
  </w:endnote>
  <w:endnote w:type="continuationSeparator" w:id="0">
    <w:p w14:paraId="09AD4B0F" w14:textId="77777777" w:rsidR="00683144" w:rsidRDefault="0068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4B0C" w14:textId="77777777" w:rsidR="00683144" w:rsidRDefault="00683144">
      <w:r>
        <w:separator/>
      </w:r>
    </w:p>
  </w:footnote>
  <w:footnote w:type="continuationSeparator" w:id="0">
    <w:p w14:paraId="09AD4B0D" w14:textId="77777777" w:rsidR="00683144" w:rsidRDefault="0068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160FF"/>
    <w:multiLevelType w:val="multilevel"/>
    <w:tmpl w:val="A6FED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7213"/>
    <w:rsid w:val="00143841"/>
    <w:rsid w:val="00165D1A"/>
    <w:rsid w:val="003C1A19"/>
    <w:rsid w:val="003F2D48"/>
    <w:rsid w:val="00683144"/>
    <w:rsid w:val="00727DCA"/>
    <w:rsid w:val="00815058"/>
    <w:rsid w:val="008652F0"/>
    <w:rsid w:val="00882E99"/>
    <w:rsid w:val="0095134E"/>
    <w:rsid w:val="00965B6B"/>
    <w:rsid w:val="00A871A3"/>
    <w:rsid w:val="00AB661F"/>
    <w:rsid w:val="00AF7213"/>
    <w:rsid w:val="00C16ADB"/>
    <w:rsid w:val="00D470DF"/>
    <w:rsid w:val="00F37BEE"/>
    <w:rsid w:val="00F40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D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E6991"/>
    <w:pPr>
      <w:ind w:left="720"/>
      <w:contextualSpacing/>
    </w:pPr>
  </w:style>
  <w:style w:type="paragraph" w:styleId="FootnoteText">
    <w:name w:val="footnote text"/>
    <w:basedOn w:val="Normal"/>
    <w:link w:val="FootnoteTextChar"/>
    <w:uiPriority w:val="99"/>
    <w:semiHidden/>
    <w:unhideWhenUsed/>
    <w:rsid w:val="00122893"/>
  </w:style>
  <w:style w:type="character" w:customStyle="1" w:styleId="FootnoteTextChar">
    <w:name w:val="Footnote Text Char"/>
    <w:basedOn w:val="DefaultParagraphFont"/>
    <w:link w:val="FootnoteText"/>
    <w:uiPriority w:val="99"/>
    <w:semiHidden/>
    <w:rsid w:val="00122893"/>
    <w:rPr>
      <w:lang w:val="en-AU"/>
    </w:rPr>
  </w:style>
  <w:style w:type="character" w:styleId="FootnoteReference">
    <w:name w:val="footnote reference"/>
    <w:basedOn w:val="DefaultParagraphFont"/>
    <w:uiPriority w:val="99"/>
    <w:semiHidden/>
    <w:unhideWhenUsed/>
    <w:rsid w:val="00122893"/>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652F0"/>
    <w:rPr>
      <w:rFonts w:ascii="Tahoma" w:hAnsi="Tahoma" w:cs="Tahoma"/>
      <w:sz w:val="16"/>
      <w:szCs w:val="16"/>
    </w:rPr>
  </w:style>
  <w:style w:type="character" w:customStyle="1" w:styleId="BalloonTextChar">
    <w:name w:val="Balloon Text Char"/>
    <w:basedOn w:val="DefaultParagraphFont"/>
    <w:link w:val="BalloonText"/>
    <w:uiPriority w:val="99"/>
    <w:semiHidden/>
    <w:rsid w:val="008652F0"/>
    <w:rPr>
      <w:rFonts w:ascii="Tahoma" w:hAnsi="Tahoma" w:cs="Tahoma"/>
      <w:sz w:val="16"/>
      <w:szCs w:val="16"/>
    </w:rPr>
  </w:style>
  <w:style w:type="character" w:styleId="Hyperlink">
    <w:name w:val="Hyperlink"/>
    <w:basedOn w:val="DefaultParagraphFont"/>
    <w:uiPriority w:val="99"/>
    <w:unhideWhenUsed/>
    <w:rsid w:val="0095134E"/>
    <w:rPr>
      <w:color w:val="0000FF" w:themeColor="hyperlink"/>
      <w:u w:val="single"/>
    </w:rPr>
  </w:style>
  <w:style w:type="character" w:styleId="CommentReference">
    <w:name w:val="annotation reference"/>
    <w:basedOn w:val="DefaultParagraphFont"/>
    <w:uiPriority w:val="99"/>
    <w:semiHidden/>
    <w:unhideWhenUsed/>
    <w:rsid w:val="00965B6B"/>
    <w:rPr>
      <w:sz w:val="16"/>
      <w:szCs w:val="16"/>
    </w:rPr>
  </w:style>
  <w:style w:type="paragraph" w:styleId="CommentText">
    <w:name w:val="annotation text"/>
    <w:basedOn w:val="Normal"/>
    <w:link w:val="CommentTextChar"/>
    <w:uiPriority w:val="99"/>
    <w:semiHidden/>
    <w:unhideWhenUsed/>
    <w:rsid w:val="00965B6B"/>
    <w:rPr>
      <w:sz w:val="20"/>
      <w:szCs w:val="20"/>
    </w:rPr>
  </w:style>
  <w:style w:type="character" w:customStyle="1" w:styleId="CommentTextChar">
    <w:name w:val="Comment Text Char"/>
    <w:basedOn w:val="DefaultParagraphFont"/>
    <w:link w:val="CommentText"/>
    <w:uiPriority w:val="99"/>
    <w:semiHidden/>
    <w:rsid w:val="00965B6B"/>
    <w:rPr>
      <w:sz w:val="20"/>
      <w:szCs w:val="20"/>
    </w:rPr>
  </w:style>
  <w:style w:type="paragraph" w:styleId="CommentSubject">
    <w:name w:val="annotation subject"/>
    <w:basedOn w:val="CommentText"/>
    <w:next w:val="CommentText"/>
    <w:link w:val="CommentSubjectChar"/>
    <w:uiPriority w:val="99"/>
    <w:semiHidden/>
    <w:unhideWhenUsed/>
    <w:rsid w:val="00965B6B"/>
    <w:rPr>
      <w:b/>
      <w:bCs/>
    </w:rPr>
  </w:style>
  <w:style w:type="character" w:customStyle="1" w:styleId="CommentSubjectChar">
    <w:name w:val="Comment Subject Char"/>
    <w:basedOn w:val="CommentTextChar"/>
    <w:link w:val="CommentSubject"/>
    <w:uiPriority w:val="99"/>
    <w:semiHidden/>
    <w:rsid w:val="00965B6B"/>
    <w:rPr>
      <w:b/>
      <w:bCs/>
      <w:sz w:val="20"/>
      <w:szCs w:val="20"/>
    </w:rPr>
  </w:style>
  <w:style w:type="paragraph" w:styleId="Revision">
    <w:name w:val="Revision"/>
    <w:hidden/>
    <w:uiPriority w:val="99"/>
    <w:semiHidden/>
    <w:rsid w:val="00965B6B"/>
  </w:style>
  <w:style w:type="paragraph" w:styleId="Header">
    <w:name w:val="header"/>
    <w:basedOn w:val="Normal"/>
    <w:link w:val="HeaderChar"/>
    <w:uiPriority w:val="99"/>
    <w:unhideWhenUsed/>
    <w:rsid w:val="003F2D48"/>
    <w:pPr>
      <w:tabs>
        <w:tab w:val="center" w:pos="4513"/>
        <w:tab w:val="right" w:pos="9026"/>
      </w:tabs>
    </w:pPr>
  </w:style>
  <w:style w:type="character" w:customStyle="1" w:styleId="HeaderChar">
    <w:name w:val="Header Char"/>
    <w:basedOn w:val="DefaultParagraphFont"/>
    <w:link w:val="Header"/>
    <w:uiPriority w:val="99"/>
    <w:rsid w:val="003F2D48"/>
  </w:style>
  <w:style w:type="paragraph" w:styleId="Footer">
    <w:name w:val="footer"/>
    <w:basedOn w:val="Normal"/>
    <w:link w:val="FooterChar"/>
    <w:uiPriority w:val="99"/>
    <w:unhideWhenUsed/>
    <w:rsid w:val="003F2D48"/>
    <w:pPr>
      <w:tabs>
        <w:tab w:val="center" w:pos="4513"/>
        <w:tab w:val="right" w:pos="9026"/>
      </w:tabs>
    </w:pPr>
  </w:style>
  <w:style w:type="character" w:customStyle="1" w:styleId="FooterChar">
    <w:name w:val="Footer Char"/>
    <w:basedOn w:val="DefaultParagraphFont"/>
    <w:link w:val="Footer"/>
    <w:uiPriority w:val="99"/>
    <w:rsid w:val="003F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cl.ac.uk/lb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history.org.uk/secondary/resource/9713/exploring-and-teaching-twentieth-century-history" TargetMode="External"/><Relationship Id="rId4" Type="http://schemas.openxmlformats.org/officeDocument/2006/relationships/settings" Target="settings.xml"/><Relationship Id="rId9" Type="http://schemas.openxmlformats.org/officeDocument/2006/relationships/hyperlink" Target="http://www.runaways.gla.ac.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5CVfptg+Ji0f/J/p4E4J6GfbZw==">AMUW2mV5M/w7zA0upnq0SXB6RzU7/ywalzqk45FxX6qDkK1q/0LLy6fi6ydIE0R9UG5Ja0KLV45dqYwZWqTnXTo6euJRq8xet3jvO/pf+akzeggKhpa4WI8=</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64E5D1-C086-4B97-A472-F967896A53E1}"/>
</file>

<file path=customXml/itemProps3.xml><?xml version="1.0" encoding="utf-8"?>
<ds:datastoreItem xmlns:ds="http://schemas.openxmlformats.org/officeDocument/2006/customXml" ds:itemID="{1CB50D52-E5D5-469B-B24A-30A078C5E9D8}"/>
</file>

<file path=customXml/itemProps4.xml><?xml version="1.0" encoding="utf-8"?>
<ds:datastoreItem xmlns:ds="http://schemas.openxmlformats.org/officeDocument/2006/customXml" ds:itemID="{2EAFE83C-DA6B-4B52-A4D9-3221793BD3C8}"/>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4656</Characters>
  <Application>Microsoft Office Word</Application>
  <DocSecurity>0</DocSecurity>
  <Lines>38</Lines>
  <Paragraphs>10</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2021-03-10T11:02:00Z</dcterms:created>
  <dcterms:modified xsi:type="dcterms:W3CDTF">2021-05-24T15:14:00Z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647000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